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charts/chart17.xml" ContentType="application/vnd.openxmlformats-officedocument.drawingml.chart+xml"/>
  <Override PartName="/word/theme/themeOverride16.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CCF" w:rsidRPr="001A62CB" w:rsidRDefault="00971CCF" w:rsidP="003E4FC2">
      <w:pPr>
        <w:spacing w:after="0" w:line="240" w:lineRule="auto"/>
        <w:jc w:val="both"/>
        <w:rPr>
          <w:b/>
          <w:sz w:val="24"/>
          <w:szCs w:val="24"/>
        </w:rPr>
      </w:pPr>
    </w:p>
    <w:p w:rsidR="00971CCF" w:rsidRPr="001A62CB" w:rsidRDefault="00971CCF" w:rsidP="003E4FC2">
      <w:pPr>
        <w:spacing w:after="0" w:line="240" w:lineRule="auto"/>
        <w:jc w:val="both"/>
        <w:rPr>
          <w:b/>
          <w:sz w:val="24"/>
          <w:szCs w:val="24"/>
        </w:rPr>
      </w:pPr>
    </w:p>
    <w:p w:rsidR="00971CCF" w:rsidRPr="001A62CB" w:rsidRDefault="00971CCF" w:rsidP="003E4FC2">
      <w:pPr>
        <w:spacing w:after="0" w:line="240" w:lineRule="auto"/>
        <w:jc w:val="both"/>
        <w:rPr>
          <w:b/>
          <w:sz w:val="24"/>
          <w:szCs w:val="24"/>
        </w:rPr>
      </w:pPr>
    </w:p>
    <w:p w:rsidR="00971CCF" w:rsidRPr="001A62CB" w:rsidRDefault="00971CCF" w:rsidP="003E4FC2">
      <w:pPr>
        <w:spacing w:after="0" w:line="240" w:lineRule="auto"/>
        <w:jc w:val="both"/>
        <w:rPr>
          <w:b/>
          <w:sz w:val="24"/>
          <w:szCs w:val="24"/>
        </w:rPr>
      </w:pPr>
    </w:p>
    <w:p w:rsidR="00971CCF" w:rsidRPr="001A62CB" w:rsidRDefault="00971CCF" w:rsidP="003E4FC2">
      <w:pPr>
        <w:spacing w:after="0" w:line="240" w:lineRule="auto"/>
        <w:jc w:val="both"/>
        <w:rPr>
          <w:b/>
          <w:sz w:val="24"/>
          <w:szCs w:val="24"/>
        </w:rPr>
      </w:pPr>
    </w:p>
    <w:p w:rsidR="00971CCF" w:rsidRPr="001A62CB" w:rsidRDefault="00971CCF" w:rsidP="003E4FC2">
      <w:pPr>
        <w:spacing w:after="0" w:line="240" w:lineRule="auto"/>
        <w:jc w:val="both"/>
        <w:rPr>
          <w:b/>
          <w:sz w:val="24"/>
          <w:szCs w:val="24"/>
        </w:rPr>
      </w:pPr>
    </w:p>
    <w:p w:rsidR="00971CCF" w:rsidRPr="001A62CB" w:rsidRDefault="00971CCF" w:rsidP="003E4FC2">
      <w:pPr>
        <w:spacing w:after="0" w:line="240" w:lineRule="auto"/>
        <w:jc w:val="both"/>
        <w:rPr>
          <w:b/>
          <w:sz w:val="24"/>
          <w:szCs w:val="24"/>
        </w:rPr>
      </w:pPr>
    </w:p>
    <w:p w:rsidR="00971CCF" w:rsidRPr="001A62CB" w:rsidRDefault="00971CCF" w:rsidP="003E4FC2">
      <w:pPr>
        <w:spacing w:after="0" w:line="240" w:lineRule="auto"/>
        <w:jc w:val="both"/>
        <w:rPr>
          <w:b/>
          <w:sz w:val="24"/>
          <w:szCs w:val="24"/>
        </w:rPr>
      </w:pPr>
    </w:p>
    <w:p w:rsidR="00971CCF" w:rsidRPr="001A62CB" w:rsidRDefault="00971CCF" w:rsidP="003E4FC2">
      <w:pPr>
        <w:spacing w:after="0" w:line="240" w:lineRule="auto"/>
        <w:jc w:val="both"/>
        <w:rPr>
          <w:b/>
          <w:sz w:val="24"/>
          <w:szCs w:val="24"/>
        </w:rPr>
      </w:pPr>
    </w:p>
    <w:p w:rsidR="00971CCF" w:rsidRPr="001A62CB" w:rsidRDefault="00971CCF" w:rsidP="003E4FC2">
      <w:pPr>
        <w:spacing w:after="0" w:line="240" w:lineRule="auto"/>
        <w:jc w:val="both"/>
        <w:rPr>
          <w:b/>
          <w:sz w:val="24"/>
          <w:szCs w:val="24"/>
        </w:rPr>
      </w:pPr>
    </w:p>
    <w:p w:rsidR="00971CCF" w:rsidRPr="001A62CB" w:rsidRDefault="00971CCF" w:rsidP="003E4FC2">
      <w:pPr>
        <w:spacing w:after="0" w:line="240" w:lineRule="auto"/>
        <w:jc w:val="both"/>
        <w:rPr>
          <w:b/>
          <w:sz w:val="24"/>
          <w:szCs w:val="24"/>
        </w:rPr>
      </w:pPr>
    </w:p>
    <w:p w:rsidR="00971CCF" w:rsidRPr="001A62CB" w:rsidRDefault="00971CCF" w:rsidP="003E4FC2">
      <w:pPr>
        <w:spacing w:after="0" w:line="240" w:lineRule="auto"/>
        <w:jc w:val="both"/>
        <w:rPr>
          <w:b/>
          <w:sz w:val="24"/>
          <w:szCs w:val="24"/>
        </w:rPr>
      </w:pPr>
    </w:p>
    <w:p w:rsidR="00971CCF" w:rsidRPr="001A62CB" w:rsidRDefault="00971CCF" w:rsidP="003E4FC2">
      <w:pPr>
        <w:spacing w:after="0" w:line="240" w:lineRule="auto"/>
        <w:jc w:val="both"/>
        <w:rPr>
          <w:b/>
          <w:sz w:val="24"/>
          <w:szCs w:val="24"/>
        </w:rPr>
      </w:pPr>
    </w:p>
    <w:p w:rsidR="00971CCF" w:rsidRPr="00B12945" w:rsidRDefault="00971CCF" w:rsidP="00B12945">
      <w:pPr>
        <w:spacing w:after="0" w:line="240" w:lineRule="auto"/>
        <w:jc w:val="center"/>
        <w:rPr>
          <w:b/>
          <w:sz w:val="40"/>
          <w:szCs w:val="28"/>
        </w:rPr>
      </w:pPr>
      <w:r w:rsidRPr="00B12945">
        <w:rPr>
          <w:b/>
          <w:sz w:val="40"/>
          <w:szCs w:val="28"/>
        </w:rPr>
        <w:t xml:space="preserve">Irish Presidency </w:t>
      </w:r>
      <w:r w:rsidR="00C51993">
        <w:rPr>
          <w:b/>
          <w:sz w:val="40"/>
          <w:szCs w:val="28"/>
        </w:rPr>
        <w:t>Survey</w:t>
      </w:r>
      <w:r w:rsidRPr="00B12945">
        <w:rPr>
          <w:b/>
          <w:sz w:val="40"/>
          <w:szCs w:val="28"/>
        </w:rPr>
        <w:t xml:space="preserve"> on the Structure of the Civil and Public Services of the EU Member</w:t>
      </w:r>
      <w:r w:rsidR="00FB59F8" w:rsidRPr="00B12945">
        <w:rPr>
          <w:b/>
          <w:sz w:val="40"/>
          <w:szCs w:val="28"/>
        </w:rPr>
        <w:t xml:space="preserve"> States</w:t>
      </w:r>
      <w:r w:rsidRPr="00B12945">
        <w:rPr>
          <w:b/>
          <w:sz w:val="40"/>
          <w:szCs w:val="28"/>
        </w:rPr>
        <w:t xml:space="preserve"> and Accession States</w:t>
      </w:r>
    </w:p>
    <w:p w:rsidR="003E1F6E" w:rsidRDefault="003E1F6E" w:rsidP="00B12945">
      <w:pPr>
        <w:spacing w:after="0" w:line="240" w:lineRule="auto"/>
        <w:jc w:val="center"/>
        <w:rPr>
          <w:b/>
          <w:sz w:val="40"/>
          <w:szCs w:val="28"/>
        </w:rPr>
      </w:pPr>
    </w:p>
    <w:p w:rsidR="00745762" w:rsidRDefault="00745762" w:rsidP="00B12945">
      <w:pPr>
        <w:spacing w:after="0" w:line="240" w:lineRule="auto"/>
        <w:jc w:val="center"/>
        <w:rPr>
          <w:b/>
          <w:sz w:val="40"/>
          <w:szCs w:val="28"/>
        </w:rPr>
      </w:pPr>
    </w:p>
    <w:p w:rsidR="00745762" w:rsidRPr="00B12945" w:rsidRDefault="00745762" w:rsidP="00B12945">
      <w:pPr>
        <w:spacing w:after="0" w:line="240" w:lineRule="auto"/>
        <w:jc w:val="center"/>
        <w:rPr>
          <w:b/>
          <w:sz w:val="40"/>
          <w:szCs w:val="28"/>
        </w:rPr>
      </w:pPr>
    </w:p>
    <w:p w:rsidR="00745762" w:rsidRDefault="002347B3" w:rsidP="00B12945">
      <w:pPr>
        <w:spacing w:after="0" w:line="240" w:lineRule="auto"/>
        <w:jc w:val="center"/>
        <w:rPr>
          <w:b/>
          <w:sz w:val="40"/>
          <w:szCs w:val="28"/>
        </w:rPr>
      </w:pPr>
      <w:r w:rsidRPr="00B12945">
        <w:rPr>
          <w:b/>
          <w:sz w:val="40"/>
          <w:szCs w:val="28"/>
        </w:rPr>
        <w:t>60</w:t>
      </w:r>
      <w:r w:rsidRPr="00B12945">
        <w:rPr>
          <w:b/>
          <w:sz w:val="40"/>
          <w:szCs w:val="28"/>
          <w:vertAlign w:val="superscript"/>
        </w:rPr>
        <w:t>th</w:t>
      </w:r>
      <w:r w:rsidRPr="00B12945">
        <w:rPr>
          <w:b/>
          <w:sz w:val="40"/>
          <w:szCs w:val="28"/>
        </w:rPr>
        <w:t xml:space="preserve"> </w:t>
      </w:r>
      <w:r w:rsidR="00745762">
        <w:rPr>
          <w:b/>
          <w:sz w:val="40"/>
          <w:szCs w:val="28"/>
        </w:rPr>
        <w:t>EUPAN Directors General Meeting</w:t>
      </w:r>
    </w:p>
    <w:p w:rsidR="003E1F6E" w:rsidRPr="00B12945" w:rsidRDefault="002347B3" w:rsidP="00B12945">
      <w:pPr>
        <w:spacing w:after="0" w:line="240" w:lineRule="auto"/>
        <w:jc w:val="center"/>
        <w:rPr>
          <w:b/>
          <w:sz w:val="40"/>
          <w:szCs w:val="28"/>
        </w:rPr>
      </w:pPr>
      <w:r w:rsidRPr="00B12945">
        <w:rPr>
          <w:b/>
          <w:sz w:val="40"/>
          <w:szCs w:val="28"/>
        </w:rPr>
        <w:t xml:space="preserve"> Dublin Castle, 13</w:t>
      </w:r>
      <w:r w:rsidRPr="00B12945">
        <w:rPr>
          <w:b/>
          <w:sz w:val="40"/>
          <w:szCs w:val="28"/>
          <w:vertAlign w:val="superscript"/>
        </w:rPr>
        <w:t>th</w:t>
      </w:r>
      <w:r w:rsidRPr="00B12945">
        <w:rPr>
          <w:b/>
          <w:sz w:val="40"/>
          <w:szCs w:val="28"/>
        </w:rPr>
        <w:t xml:space="preserve"> June 201</w:t>
      </w:r>
      <w:r w:rsidR="00DB30F1">
        <w:rPr>
          <w:b/>
          <w:sz w:val="40"/>
          <w:szCs w:val="28"/>
        </w:rPr>
        <w:t>3</w:t>
      </w:r>
    </w:p>
    <w:p w:rsidR="00971CCF" w:rsidRPr="001A62CB" w:rsidRDefault="00971CCF" w:rsidP="003E4FC2">
      <w:pPr>
        <w:jc w:val="both"/>
        <w:rPr>
          <w:b/>
          <w:sz w:val="24"/>
          <w:szCs w:val="24"/>
        </w:rPr>
      </w:pPr>
      <w:r w:rsidRPr="001A62CB">
        <w:rPr>
          <w:b/>
          <w:sz w:val="24"/>
          <w:szCs w:val="24"/>
        </w:rPr>
        <w:br w:type="page"/>
      </w:r>
    </w:p>
    <w:p w:rsidR="00BC1CF4" w:rsidRDefault="00BC1CF4" w:rsidP="003E4FC2">
      <w:pPr>
        <w:spacing w:after="0" w:line="240" w:lineRule="auto"/>
        <w:jc w:val="both"/>
        <w:rPr>
          <w:b/>
          <w:sz w:val="24"/>
          <w:szCs w:val="24"/>
        </w:rPr>
      </w:pPr>
    </w:p>
    <w:p w:rsidR="00492CDF" w:rsidRDefault="00492CDF" w:rsidP="003E4FC2">
      <w:pPr>
        <w:spacing w:after="0" w:line="240" w:lineRule="auto"/>
        <w:jc w:val="center"/>
        <w:rPr>
          <w:b/>
          <w:sz w:val="24"/>
          <w:szCs w:val="24"/>
        </w:rPr>
      </w:pPr>
      <w:r w:rsidRPr="00492CDF">
        <w:rPr>
          <w:b/>
          <w:sz w:val="24"/>
          <w:szCs w:val="24"/>
        </w:rPr>
        <w:t xml:space="preserve">Irish Presidency </w:t>
      </w:r>
      <w:r w:rsidR="00C51993">
        <w:rPr>
          <w:b/>
          <w:sz w:val="24"/>
          <w:szCs w:val="24"/>
        </w:rPr>
        <w:t>Survey</w:t>
      </w:r>
      <w:r w:rsidRPr="00492CDF">
        <w:rPr>
          <w:b/>
          <w:sz w:val="24"/>
          <w:szCs w:val="24"/>
        </w:rPr>
        <w:t xml:space="preserve"> on the Structure of the Civil and Public Services of the EU Member States and Accession States</w:t>
      </w:r>
    </w:p>
    <w:p w:rsidR="00B946F2" w:rsidRDefault="00B946F2" w:rsidP="003E4FC2">
      <w:pPr>
        <w:spacing w:after="0" w:line="240" w:lineRule="auto"/>
        <w:jc w:val="center"/>
        <w:rPr>
          <w:b/>
          <w:sz w:val="24"/>
          <w:szCs w:val="24"/>
        </w:rPr>
      </w:pPr>
    </w:p>
    <w:p w:rsidR="00492CDF" w:rsidRPr="00120A99" w:rsidRDefault="00684F68" w:rsidP="003E4FC2">
      <w:pPr>
        <w:jc w:val="center"/>
        <w:rPr>
          <w:b/>
          <w:sz w:val="24"/>
          <w:szCs w:val="24"/>
        </w:rPr>
      </w:pPr>
      <w:r w:rsidRPr="00120A99">
        <w:rPr>
          <w:b/>
          <w:sz w:val="24"/>
          <w:szCs w:val="24"/>
        </w:rPr>
        <w:t>Executive Summary</w:t>
      </w:r>
    </w:p>
    <w:p w:rsidR="008D3C32" w:rsidRDefault="00B3243D" w:rsidP="003E4FC2">
      <w:pPr>
        <w:jc w:val="both"/>
        <w:rPr>
          <w:sz w:val="24"/>
          <w:szCs w:val="24"/>
        </w:rPr>
      </w:pPr>
      <w:r>
        <w:rPr>
          <w:sz w:val="24"/>
          <w:szCs w:val="24"/>
        </w:rPr>
        <w:t xml:space="preserve">Any </w:t>
      </w:r>
      <w:r w:rsidR="00DB30F1">
        <w:rPr>
          <w:sz w:val="24"/>
          <w:szCs w:val="24"/>
        </w:rPr>
        <w:t>S</w:t>
      </w:r>
      <w:r w:rsidR="00C51993">
        <w:rPr>
          <w:sz w:val="24"/>
          <w:szCs w:val="24"/>
        </w:rPr>
        <w:t>urvey</w:t>
      </w:r>
      <w:r>
        <w:rPr>
          <w:sz w:val="24"/>
          <w:szCs w:val="24"/>
        </w:rPr>
        <w:t xml:space="preserve"> or study carried out under the auspices of EUPAN has </w:t>
      </w:r>
      <w:r w:rsidR="003E4FC2">
        <w:rPr>
          <w:sz w:val="24"/>
          <w:szCs w:val="24"/>
        </w:rPr>
        <w:t>to acknowledge</w:t>
      </w:r>
      <w:r w:rsidR="00120A99">
        <w:rPr>
          <w:sz w:val="24"/>
          <w:szCs w:val="24"/>
        </w:rPr>
        <w:t xml:space="preserve"> </w:t>
      </w:r>
      <w:r>
        <w:rPr>
          <w:sz w:val="24"/>
          <w:szCs w:val="24"/>
        </w:rPr>
        <w:t>the complexity of trying to compare 27 different systems and traditions</w:t>
      </w:r>
      <w:r w:rsidR="008D3C32">
        <w:rPr>
          <w:sz w:val="24"/>
          <w:szCs w:val="24"/>
        </w:rPr>
        <w:t xml:space="preserve"> of public administration</w:t>
      </w:r>
      <w:r>
        <w:rPr>
          <w:sz w:val="24"/>
          <w:szCs w:val="24"/>
        </w:rPr>
        <w:t xml:space="preserve">. </w:t>
      </w:r>
      <w:r w:rsidR="00B946F2">
        <w:rPr>
          <w:sz w:val="24"/>
          <w:szCs w:val="24"/>
        </w:rPr>
        <w:t xml:space="preserve">Some </w:t>
      </w:r>
      <w:r w:rsidR="00DB30F1">
        <w:rPr>
          <w:sz w:val="24"/>
          <w:szCs w:val="24"/>
        </w:rPr>
        <w:t>respondents did</w:t>
      </w:r>
      <w:r w:rsidR="00B946F2">
        <w:rPr>
          <w:sz w:val="24"/>
          <w:szCs w:val="24"/>
        </w:rPr>
        <w:t xml:space="preserve"> not </w:t>
      </w:r>
      <w:r w:rsidR="00DB30F1">
        <w:rPr>
          <w:sz w:val="24"/>
          <w:szCs w:val="24"/>
        </w:rPr>
        <w:t>distinguish between</w:t>
      </w:r>
      <w:r w:rsidR="00B946F2">
        <w:rPr>
          <w:sz w:val="24"/>
          <w:szCs w:val="24"/>
        </w:rPr>
        <w:t xml:space="preserve"> the public service as a whole and centra</w:t>
      </w:r>
      <w:r w:rsidR="00CB5D34">
        <w:rPr>
          <w:sz w:val="24"/>
          <w:szCs w:val="24"/>
        </w:rPr>
        <w:t>l government administration or Civil s</w:t>
      </w:r>
      <w:r w:rsidR="00B946F2">
        <w:rPr>
          <w:sz w:val="24"/>
          <w:szCs w:val="24"/>
        </w:rPr>
        <w:t>ervice due to changes in classification over the period of the Survey (2006 -2012).</w:t>
      </w:r>
      <w:r>
        <w:rPr>
          <w:sz w:val="24"/>
          <w:szCs w:val="24"/>
        </w:rPr>
        <w:t xml:space="preserve"> </w:t>
      </w:r>
      <w:r w:rsidR="008D3C32">
        <w:rPr>
          <w:sz w:val="24"/>
          <w:szCs w:val="24"/>
        </w:rPr>
        <w:t xml:space="preserve">Working within this </w:t>
      </w:r>
      <w:r w:rsidR="003E4FC2">
        <w:rPr>
          <w:sz w:val="24"/>
          <w:szCs w:val="24"/>
        </w:rPr>
        <w:t>constraint and</w:t>
      </w:r>
      <w:r w:rsidR="008D3C32">
        <w:rPr>
          <w:sz w:val="24"/>
          <w:szCs w:val="24"/>
        </w:rPr>
        <w:t xml:space="preserve"> using the </w:t>
      </w:r>
      <w:r w:rsidR="003E4FC2">
        <w:rPr>
          <w:sz w:val="24"/>
          <w:szCs w:val="24"/>
        </w:rPr>
        <w:t xml:space="preserve">earlier </w:t>
      </w:r>
      <w:r w:rsidR="00C51993">
        <w:rPr>
          <w:sz w:val="24"/>
          <w:szCs w:val="24"/>
        </w:rPr>
        <w:t>Survey</w:t>
      </w:r>
      <w:r w:rsidR="003E4FC2">
        <w:rPr>
          <w:sz w:val="24"/>
          <w:szCs w:val="24"/>
        </w:rPr>
        <w:t>s conducted</w:t>
      </w:r>
      <w:r w:rsidR="00120A99">
        <w:rPr>
          <w:sz w:val="24"/>
          <w:szCs w:val="24"/>
        </w:rPr>
        <w:t xml:space="preserve"> by Ireland (</w:t>
      </w:r>
      <w:r w:rsidR="008D3C32">
        <w:rPr>
          <w:sz w:val="24"/>
          <w:szCs w:val="24"/>
        </w:rPr>
        <w:t>2004</w:t>
      </w:r>
      <w:r w:rsidR="00120A99">
        <w:rPr>
          <w:sz w:val="24"/>
          <w:szCs w:val="24"/>
        </w:rPr>
        <w:t>)</w:t>
      </w:r>
      <w:r w:rsidR="008D3C32">
        <w:rPr>
          <w:sz w:val="24"/>
          <w:szCs w:val="24"/>
        </w:rPr>
        <w:t xml:space="preserve"> </w:t>
      </w:r>
      <w:r w:rsidR="003E4FC2">
        <w:rPr>
          <w:sz w:val="24"/>
          <w:szCs w:val="24"/>
        </w:rPr>
        <w:t>and by</w:t>
      </w:r>
      <w:r w:rsidR="00120A99">
        <w:rPr>
          <w:sz w:val="24"/>
          <w:szCs w:val="24"/>
        </w:rPr>
        <w:t xml:space="preserve"> Austria </w:t>
      </w:r>
      <w:r w:rsidR="003E4FC2">
        <w:rPr>
          <w:sz w:val="24"/>
          <w:szCs w:val="24"/>
        </w:rPr>
        <w:t>(</w:t>
      </w:r>
      <w:r w:rsidR="008D3C32">
        <w:rPr>
          <w:sz w:val="24"/>
          <w:szCs w:val="24"/>
        </w:rPr>
        <w:t>2006</w:t>
      </w:r>
      <w:r w:rsidR="003E4FC2">
        <w:rPr>
          <w:sz w:val="24"/>
          <w:szCs w:val="24"/>
        </w:rPr>
        <w:t>)</w:t>
      </w:r>
      <w:r w:rsidR="008D3C32">
        <w:rPr>
          <w:sz w:val="24"/>
          <w:szCs w:val="24"/>
        </w:rPr>
        <w:t xml:space="preserve"> </w:t>
      </w:r>
      <w:r w:rsidR="00684F68">
        <w:rPr>
          <w:sz w:val="24"/>
          <w:szCs w:val="24"/>
        </w:rPr>
        <w:t>as a basis</w:t>
      </w:r>
      <w:r w:rsidR="008D3C32">
        <w:rPr>
          <w:sz w:val="24"/>
          <w:szCs w:val="24"/>
        </w:rPr>
        <w:t xml:space="preserve">, the </w:t>
      </w:r>
      <w:r w:rsidR="00492CDF" w:rsidRPr="00492CDF">
        <w:rPr>
          <w:sz w:val="24"/>
          <w:szCs w:val="24"/>
        </w:rPr>
        <w:t xml:space="preserve">Irish Presidency </w:t>
      </w:r>
      <w:r w:rsidR="00C51993">
        <w:rPr>
          <w:sz w:val="24"/>
          <w:szCs w:val="24"/>
        </w:rPr>
        <w:t>Survey</w:t>
      </w:r>
      <w:r w:rsidR="00492CDF" w:rsidRPr="00492CDF">
        <w:rPr>
          <w:b/>
          <w:sz w:val="24"/>
          <w:szCs w:val="24"/>
        </w:rPr>
        <w:t xml:space="preserve"> </w:t>
      </w:r>
      <w:r w:rsidR="00684F68">
        <w:rPr>
          <w:sz w:val="24"/>
          <w:szCs w:val="24"/>
        </w:rPr>
        <w:t xml:space="preserve">sought </w:t>
      </w:r>
      <w:r w:rsidR="009F793D" w:rsidRPr="009F793D">
        <w:rPr>
          <w:sz w:val="24"/>
          <w:szCs w:val="24"/>
        </w:rPr>
        <w:t xml:space="preserve">to </w:t>
      </w:r>
      <w:r w:rsidR="009F793D">
        <w:rPr>
          <w:sz w:val="24"/>
          <w:szCs w:val="24"/>
        </w:rPr>
        <w:t xml:space="preserve">assess the </w:t>
      </w:r>
      <w:r w:rsidR="009F793D" w:rsidRPr="001A62CB">
        <w:rPr>
          <w:sz w:val="24"/>
          <w:szCs w:val="24"/>
        </w:rPr>
        <w:t xml:space="preserve">impact </w:t>
      </w:r>
      <w:r w:rsidR="009F793D">
        <w:rPr>
          <w:sz w:val="24"/>
          <w:szCs w:val="24"/>
        </w:rPr>
        <w:t>of the</w:t>
      </w:r>
      <w:r w:rsidR="00120A99">
        <w:rPr>
          <w:sz w:val="24"/>
          <w:szCs w:val="24"/>
        </w:rPr>
        <w:t xml:space="preserve"> </w:t>
      </w:r>
      <w:r w:rsidR="003E4FC2">
        <w:rPr>
          <w:sz w:val="24"/>
          <w:szCs w:val="24"/>
        </w:rPr>
        <w:t>recent economic</w:t>
      </w:r>
      <w:r w:rsidR="009F793D">
        <w:rPr>
          <w:sz w:val="24"/>
          <w:szCs w:val="24"/>
        </w:rPr>
        <w:t xml:space="preserve"> crisis </w:t>
      </w:r>
      <w:r w:rsidR="009F793D" w:rsidRPr="001A62CB">
        <w:rPr>
          <w:sz w:val="24"/>
          <w:szCs w:val="24"/>
        </w:rPr>
        <w:t>on the structure and scale of the Public Service</w:t>
      </w:r>
      <w:r w:rsidR="009F793D">
        <w:rPr>
          <w:sz w:val="24"/>
          <w:szCs w:val="24"/>
        </w:rPr>
        <w:t>s</w:t>
      </w:r>
      <w:r w:rsidR="009F793D" w:rsidRPr="001A62CB">
        <w:rPr>
          <w:sz w:val="24"/>
          <w:szCs w:val="24"/>
        </w:rPr>
        <w:t xml:space="preserve"> across </w:t>
      </w:r>
      <w:r w:rsidR="009F793D">
        <w:rPr>
          <w:sz w:val="24"/>
          <w:szCs w:val="24"/>
        </w:rPr>
        <w:t>EUPAN</w:t>
      </w:r>
      <w:r w:rsidR="009F793D" w:rsidRPr="001A62CB">
        <w:rPr>
          <w:sz w:val="24"/>
          <w:szCs w:val="24"/>
        </w:rPr>
        <w:t xml:space="preserve"> Member States. </w:t>
      </w:r>
    </w:p>
    <w:p w:rsidR="008D3C32" w:rsidRDefault="003964DF" w:rsidP="003E4FC2">
      <w:pPr>
        <w:spacing w:after="0" w:line="240" w:lineRule="auto"/>
        <w:jc w:val="both"/>
        <w:rPr>
          <w:sz w:val="24"/>
          <w:szCs w:val="24"/>
        </w:rPr>
      </w:pPr>
      <w:r>
        <w:rPr>
          <w:sz w:val="24"/>
          <w:szCs w:val="24"/>
        </w:rPr>
        <w:t xml:space="preserve">Using 2006 as the base </w:t>
      </w:r>
      <w:r w:rsidR="003E4FC2">
        <w:rPr>
          <w:sz w:val="24"/>
          <w:szCs w:val="24"/>
        </w:rPr>
        <w:t>year, EUPAN</w:t>
      </w:r>
      <w:r w:rsidR="00276F8B" w:rsidRPr="008D3C32">
        <w:rPr>
          <w:sz w:val="24"/>
          <w:szCs w:val="24"/>
        </w:rPr>
        <w:t xml:space="preserve"> Members were requested to provide up-to-date structural data and key reform information under six </w:t>
      </w:r>
      <w:r w:rsidR="00B3243D" w:rsidRPr="008D3C32">
        <w:rPr>
          <w:sz w:val="24"/>
          <w:szCs w:val="24"/>
        </w:rPr>
        <w:t xml:space="preserve">main headings. </w:t>
      </w:r>
    </w:p>
    <w:p w:rsidR="008D3C32" w:rsidRPr="008D3C32" w:rsidRDefault="008D3C32" w:rsidP="003E4FC2">
      <w:pPr>
        <w:spacing w:after="0" w:line="240" w:lineRule="auto"/>
        <w:jc w:val="both"/>
        <w:rPr>
          <w:sz w:val="24"/>
          <w:szCs w:val="24"/>
        </w:rPr>
      </w:pPr>
    </w:p>
    <w:p w:rsidR="008D3C32" w:rsidRPr="007650A2" w:rsidRDefault="008D3C32" w:rsidP="002F4F99">
      <w:pPr>
        <w:pStyle w:val="ListParagraph"/>
        <w:numPr>
          <w:ilvl w:val="0"/>
          <w:numId w:val="4"/>
        </w:numPr>
        <w:spacing w:after="0" w:line="240" w:lineRule="auto"/>
        <w:jc w:val="both"/>
        <w:rPr>
          <w:sz w:val="24"/>
          <w:szCs w:val="24"/>
        </w:rPr>
      </w:pPr>
      <w:r w:rsidRPr="007650A2">
        <w:rPr>
          <w:sz w:val="24"/>
          <w:szCs w:val="24"/>
        </w:rPr>
        <w:t>Structure of the Public Service</w:t>
      </w:r>
    </w:p>
    <w:p w:rsidR="008D3C32" w:rsidRPr="007650A2" w:rsidRDefault="008D3C32" w:rsidP="002F4F99">
      <w:pPr>
        <w:pStyle w:val="ListParagraph"/>
        <w:numPr>
          <w:ilvl w:val="0"/>
          <w:numId w:val="4"/>
        </w:numPr>
        <w:spacing w:after="0" w:line="240" w:lineRule="auto"/>
        <w:jc w:val="both"/>
        <w:rPr>
          <w:sz w:val="24"/>
          <w:szCs w:val="24"/>
        </w:rPr>
      </w:pPr>
      <w:r w:rsidRPr="008D3C32">
        <w:rPr>
          <w:sz w:val="24"/>
          <w:szCs w:val="24"/>
        </w:rPr>
        <w:t>Number of Public Servants</w:t>
      </w:r>
    </w:p>
    <w:p w:rsidR="008D3C32" w:rsidRPr="00B45C95" w:rsidRDefault="008D3C32" w:rsidP="002F4F99">
      <w:pPr>
        <w:pStyle w:val="ListParagraph"/>
        <w:numPr>
          <w:ilvl w:val="0"/>
          <w:numId w:val="4"/>
        </w:numPr>
        <w:spacing w:after="0" w:line="240" w:lineRule="auto"/>
        <w:jc w:val="both"/>
        <w:rPr>
          <w:sz w:val="24"/>
          <w:szCs w:val="24"/>
        </w:rPr>
      </w:pPr>
      <w:r w:rsidRPr="00B45C95">
        <w:rPr>
          <w:sz w:val="24"/>
          <w:szCs w:val="24"/>
        </w:rPr>
        <w:t>Number of Ministries</w:t>
      </w:r>
    </w:p>
    <w:p w:rsidR="008D3C32" w:rsidRPr="00B45C95" w:rsidRDefault="008D3C32" w:rsidP="002F4F99">
      <w:pPr>
        <w:pStyle w:val="ListParagraph"/>
        <w:numPr>
          <w:ilvl w:val="0"/>
          <w:numId w:val="4"/>
        </w:numPr>
        <w:spacing w:after="0" w:line="240" w:lineRule="auto"/>
        <w:jc w:val="both"/>
        <w:rPr>
          <w:sz w:val="24"/>
          <w:szCs w:val="24"/>
        </w:rPr>
      </w:pPr>
      <w:r w:rsidRPr="00B45C95">
        <w:rPr>
          <w:sz w:val="24"/>
          <w:szCs w:val="24"/>
        </w:rPr>
        <w:t>Structure within each Ministry</w:t>
      </w:r>
    </w:p>
    <w:p w:rsidR="008D3C32" w:rsidRPr="00B45C95" w:rsidRDefault="008D3C32" w:rsidP="002F4F99">
      <w:pPr>
        <w:pStyle w:val="ListParagraph"/>
        <w:numPr>
          <w:ilvl w:val="0"/>
          <w:numId w:val="4"/>
        </w:numPr>
        <w:spacing w:after="0" w:line="240" w:lineRule="auto"/>
        <w:jc w:val="both"/>
        <w:rPr>
          <w:sz w:val="24"/>
          <w:szCs w:val="24"/>
        </w:rPr>
      </w:pPr>
      <w:r w:rsidRPr="00B45C95">
        <w:rPr>
          <w:sz w:val="24"/>
          <w:szCs w:val="24"/>
        </w:rPr>
        <w:t>Department/Ministry with Responsibility for HR Policy</w:t>
      </w:r>
    </w:p>
    <w:p w:rsidR="008D3C32" w:rsidRPr="00401A66" w:rsidRDefault="008D3C32" w:rsidP="002F4F99">
      <w:pPr>
        <w:pStyle w:val="ListParagraph"/>
        <w:numPr>
          <w:ilvl w:val="0"/>
          <w:numId w:val="4"/>
        </w:numPr>
        <w:spacing w:after="0" w:line="240" w:lineRule="auto"/>
        <w:jc w:val="both"/>
        <w:rPr>
          <w:sz w:val="24"/>
          <w:szCs w:val="24"/>
        </w:rPr>
      </w:pPr>
      <w:r w:rsidRPr="007650A2">
        <w:rPr>
          <w:sz w:val="24"/>
          <w:szCs w:val="24"/>
        </w:rPr>
        <w:t>HR Reforms</w:t>
      </w:r>
      <w:r w:rsidR="00684F68">
        <w:rPr>
          <w:sz w:val="24"/>
          <w:szCs w:val="24"/>
        </w:rPr>
        <w:t xml:space="preserve"> s</w:t>
      </w:r>
      <w:r w:rsidRPr="007650A2">
        <w:rPr>
          <w:sz w:val="24"/>
          <w:szCs w:val="24"/>
        </w:rPr>
        <w:t xml:space="preserve">ince </w:t>
      </w:r>
      <w:r w:rsidRPr="006F6242">
        <w:rPr>
          <w:b/>
          <w:sz w:val="24"/>
          <w:szCs w:val="24"/>
        </w:rPr>
        <w:t>2009</w:t>
      </w:r>
      <w:r w:rsidR="00401A66">
        <w:rPr>
          <w:sz w:val="24"/>
          <w:szCs w:val="24"/>
        </w:rPr>
        <w:t xml:space="preserve">. </w:t>
      </w:r>
      <w:r w:rsidR="00684F68" w:rsidRPr="00401A66">
        <w:rPr>
          <w:sz w:val="24"/>
          <w:szCs w:val="24"/>
        </w:rPr>
        <w:t>Member States were asked for</w:t>
      </w:r>
      <w:r w:rsidRPr="00401A66">
        <w:rPr>
          <w:sz w:val="24"/>
          <w:szCs w:val="24"/>
        </w:rPr>
        <w:t xml:space="preserve"> changes that have taken place in:</w:t>
      </w:r>
    </w:p>
    <w:p w:rsidR="008D3C32" w:rsidRDefault="008D3C32" w:rsidP="003E4FC2">
      <w:pPr>
        <w:pStyle w:val="ListParagraph"/>
        <w:spacing w:after="0" w:line="240" w:lineRule="auto"/>
        <w:jc w:val="both"/>
        <w:rPr>
          <w:sz w:val="24"/>
          <w:szCs w:val="24"/>
        </w:rPr>
      </w:pPr>
    </w:p>
    <w:p w:rsidR="008D3C32" w:rsidRPr="007650A2" w:rsidRDefault="008D3C32" w:rsidP="002F4F99">
      <w:pPr>
        <w:pStyle w:val="ListParagraph"/>
        <w:numPr>
          <w:ilvl w:val="1"/>
          <w:numId w:val="4"/>
        </w:numPr>
        <w:spacing w:after="0" w:line="240" w:lineRule="auto"/>
        <w:jc w:val="both"/>
        <w:rPr>
          <w:sz w:val="24"/>
          <w:szCs w:val="24"/>
        </w:rPr>
      </w:pPr>
      <w:r w:rsidRPr="007650A2">
        <w:rPr>
          <w:sz w:val="24"/>
          <w:szCs w:val="24"/>
        </w:rPr>
        <w:t>General Terms and Conditions of Service</w:t>
      </w:r>
    </w:p>
    <w:p w:rsidR="008D3C32" w:rsidRPr="00B45C95" w:rsidRDefault="008D3C32" w:rsidP="002F4F99">
      <w:pPr>
        <w:pStyle w:val="ListParagraph"/>
        <w:numPr>
          <w:ilvl w:val="1"/>
          <w:numId w:val="4"/>
        </w:numPr>
        <w:spacing w:after="0" w:line="240" w:lineRule="auto"/>
        <w:jc w:val="both"/>
        <w:rPr>
          <w:sz w:val="24"/>
          <w:szCs w:val="24"/>
        </w:rPr>
      </w:pPr>
      <w:r w:rsidRPr="00B45C95">
        <w:rPr>
          <w:sz w:val="24"/>
          <w:szCs w:val="24"/>
        </w:rPr>
        <w:t>Rates of Pay / Rates of Pension</w:t>
      </w:r>
    </w:p>
    <w:p w:rsidR="008D3C32" w:rsidRPr="00B45C95" w:rsidRDefault="008D3C32" w:rsidP="002F4F99">
      <w:pPr>
        <w:pStyle w:val="ListParagraph"/>
        <w:numPr>
          <w:ilvl w:val="1"/>
          <w:numId w:val="4"/>
        </w:numPr>
        <w:spacing w:after="0" w:line="240" w:lineRule="auto"/>
        <w:jc w:val="both"/>
        <w:rPr>
          <w:sz w:val="24"/>
          <w:szCs w:val="24"/>
        </w:rPr>
      </w:pPr>
      <w:r w:rsidRPr="00B45C95">
        <w:rPr>
          <w:sz w:val="24"/>
          <w:szCs w:val="24"/>
        </w:rPr>
        <w:t>Pension Entitlements or Conditions of Qualification</w:t>
      </w:r>
    </w:p>
    <w:p w:rsidR="008D3C32" w:rsidRPr="00B45C95" w:rsidRDefault="008D3C32" w:rsidP="002F4F99">
      <w:pPr>
        <w:pStyle w:val="ListParagraph"/>
        <w:numPr>
          <w:ilvl w:val="1"/>
          <w:numId w:val="4"/>
        </w:numPr>
        <w:spacing w:after="0" w:line="240" w:lineRule="auto"/>
        <w:jc w:val="both"/>
        <w:rPr>
          <w:sz w:val="24"/>
          <w:szCs w:val="24"/>
        </w:rPr>
      </w:pPr>
      <w:r w:rsidRPr="00B45C95">
        <w:rPr>
          <w:sz w:val="24"/>
          <w:szCs w:val="24"/>
        </w:rPr>
        <w:t>Holiday / Annual Leave Entitlements</w:t>
      </w:r>
    </w:p>
    <w:p w:rsidR="008D3C32" w:rsidRPr="00B45C95" w:rsidRDefault="008D3C32" w:rsidP="002F4F99">
      <w:pPr>
        <w:pStyle w:val="ListParagraph"/>
        <w:numPr>
          <w:ilvl w:val="1"/>
          <w:numId w:val="4"/>
        </w:numPr>
        <w:spacing w:after="0" w:line="240" w:lineRule="auto"/>
        <w:jc w:val="both"/>
        <w:rPr>
          <w:sz w:val="24"/>
          <w:szCs w:val="24"/>
        </w:rPr>
      </w:pPr>
      <w:r w:rsidRPr="00B45C95">
        <w:rPr>
          <w:sz w:val="24"/>
          <w:szCs w:val="24"/>
        </w:rPr>
        <w:t>Sick Leave Entitlements</w:t>
      </w:r>
    </w:p>
    <w:p w:rsidR="008D3C32" w:rsidRPr="00B45C95" w:rsidRDefault="008D3C32" w:rsidP="002F4F99">
      <w:pPr>
        <w:pStyle w:val="ListParagraph"/>
        <w:numPr>
          <w:ilvl w:val="1"/>
          <w:numId w:val="4"/>
        </w:numPr>
        <w:spacing w:after="0" w:line="240" w:lineRule="auto"/>
        <w:jc w:val="both"/>
        <w:rPr>
          <w:sz w:val="24"/>
          <w:szCs w:val="24"/>
        </w:rPr>
      </w:pPr>
      <w:r w:rsidRPr="00B45C95">
        <w:rPr>
          <w:sz w:val="24"/>
          <w:szCs w:val="24"/>
        </w:rPr>
        <w:t>Maternity / Paternity Leave</w:t>
      </w:r>
    </w:p>
    <w:p w:rsidR="008D3C32" w:rsidRPr="00B45C95" w:rsidRDefault="008D3C32" w:rsidP="002F4F99">
      <w:pPr>
        <w:pStyle w:val="ListParagraph"/>
        <w:numPr>
          <w:ilvl w:val="1"/>
          <w:numId w:val="4"/>
        </w:numPr>
        <w:spacing w:after="0" w:line="240" w:lineRule="auto"/>
        <w:jc w:val="both"/>
        <w:rPr>
          <w:sz w:val="24"/>
          <w:szCs w:val="24"/>
        </w:rPr>
      </w:pPr>
      <w:r w:rsidRPr="00B45C95">
        <w:rPr>
          <w:sz w:val="24"/>
          <w:szCs w:val="24"/>
        </w:rPr>
        <w:t>Family Friendly Policies</w:t>
      </w:r>
    </w:p>
    <w:p w:rsidR="008D3C32" w:rsidRPr="00B45C95" w:rsidRDefault="008D3C32" w:rsidP="002F4F99">
      <w:pPr>
        <w:pStyle w:val="ListParagraph"/>
        <w:numPr>
          <w:ilvl w:val="1"/>
          <w:numId w:val="4"/>
        </w:numPr>
        <w:spacing w:after="0" w:line="240" w:lineRule="auto"/>
        <w:jc w:val="both"/>
        <w:rPr>
          <w:sz w:val="24"/>
          <w:szCs w:val="24"/>
        </w:rPr>
      </w:pPr>
      <w:r w:rsidRPr="00B45C95">
        <w:rPr>
          <w:sz w:val="24"/>
          <w:szCs w:val="24"/>
        </w:rPr>
        <w:t>Methods of Recruitment and Selection to the Civil Service</w:t>
      </w:r>
    </w:p>
    <w:p w:rsidR="008D3C32" w:rsidRPr="00B45C95" w:rsidRDefault="008D3C32" w:rsidP="002F4F99">
      <w:pPr>
        <w:pStyle w:val="ListParagraph"/>
        <w:numPr>
          <w:ilvl w:val="1"/>
          <w:numId w:val="4"/>
        </w:numPr>
        <w:spacing w:after="0" w:line="240" w:lineRule="auto"/>
        <w:jc w:val="both"/>
        <w:rPr>
          <w:sz w:val="24"/>
          <w:szCs w:val="24"/>
        </w:rPr>
      </w:pPr>
      <w:r w:rsidRPr="00B45C95">
        <w:rPr>
          <w:sz w:val="24"/>
          <w:szCs w:val="24"/>
        </w:rPr>
        <w:t>Structure of the Senior Public Service</w:t>
      </w:r>
    </w:p>
    <w:p w:rsidR="008D3C32" w:rsidRPr="00B45C95" w:rsidRDefault="008D3C32" w:rsidP="002F4F99">
      <w:pPr>
        <w:pStyle w:val="ListParagraph"/>
        <w:numPr>
          <w:ilvl w:val="1"/>
          <w:numId w:val="4"/>
        </w:numPr>
        <w:spacing w:after="0" w:line="240" w:lineRule="auto"/>
        <w:jc w:val="both"/>
        <w:rPr>
          <w:sz w:val="24"/>
          <w:szCs w:val="24"/>
        </w:rPr>
      </w:pPr>
      <w:r w:rsidRPr="00B45C95">
        <w:rPr>
          <w:sz w:val="24"/>
          <w:szCs w:val="24"/>
        </w:rPr>
        <w:t>Recruitment and Selection for the Senior Public Service</w:t>
      </w:r>
    </w:p>
    <w:p w:rsidR="00DB30F1" w:rsidRDefault="00DB30F1" w:rsidP="003E4FC2">
      <w:pPr>
        <w:jc w:val="both"/>
        <w:rPr>
          <w:sz w:val="24"/>
          <w:szCs w:val="24"/>
        </w:rPr>
      </w:pPr>
    </w:p>
    <w:p w:rsidR="006C0E21" w:rsidRDefault="00684F68" w:rsidP="003E4FC2">
      <w:pPr>
        <w:jc w:val="both"/>
        <w:rPr>
          <w:sz w:val="24"/>
          <w:szCs w:val="24"/>
        </w:rPr>
      </w:pPr>
      <w:r w:rsidRPr="001A62CB">
        <w:rPr>
          <w:sz w:val="24"/>
          <w:szCs w:val="24"/>
        </w:rPr>
        <w:t xml:space="preserve">Responses were received from </w:t>
      </w:r>
      <w:r w:rsidRPr="006F6242">
        <w:rPr>
          <w:b/>
          <w:sz w:val="24"/>
          <w:szCs w:val="24"/>
        </w:rPr>
        <w:t>27 EU Member States</w:t>
      </w:r>
      <w:r w:rsidRPr="001A62CB">
        <w:rPr>
          <w:sz w:val="24"/>
          <w:szCs w:val="24"/>
        </w:rPr>
        <w:t xml:space="preserve">, the </w:t>
      </w:r>
      <w:r w:rsidRPr="006F6242">
        <w:rPr>
          <w:b/>
          <w:sz w:val="24"/>
          <w:szCs w:val="24"/>
        </w:rPr>
        <w:t>EU Commission</w:t>
      </w:r>
      <w:r w:rsidRPr="001A62CB">
        <w:rPr>
          <w:sz w:val="24"/>
          <w:szCs w:val="24"/>
        </w:rPr>
        <w:t xml:space="preserve">, </w:t>
      </w:r>
      <w:r w:rsidRPr="006F6242">
        <w:rPr>
          <w:b/>
          <w:sz w:val="24"/>
          <w:szCs w:val="24"/>
        </w:rPr>
        <w:t>Croatia,</w:t>
      </w:r>
      <w:r w:rsidRPr="001A62CB">
        <w:rPr>
          <w:sz w:val="24"/>
          <w:szCs w:val="24"/>
        </w:rPr>
        <w:t xml:space="preserve"> </w:t>
      </w:r>
      <w:r w:rsidRPr="006F6242">
        <w:rPr>
          <w:b/>
          <w:sz w:val="24"/>
          <w:szCs w:val="24"/>
        </w:rPr>
        <w:t>Montenegro</w:t>
      </w:r>
      <w:r w:rsidRPr="001A62CB">
        <w:rPr>
          <w:sz w:val="24"/>
          <w:szCs w:val="24"/>
        </w:rPr>
        <w:t xml:space="preserve">, </w:t>
      </w:r>
      <w:r w:rsidRPr="006F6242">
        <w:rPr>
          <w:b/>
          <w:sz w:val="24"/>
          <w:szCs w:val="24"/>
        </w:rPr>
        <w:t>Norway</w:t>
      </w:r>
      <w:r w:rsidRPr="001A62CB">
        <w:rPr>
          <w:sz w:val="24"/>
          <w:szCs w:val="24"/>
        </w:rPr>
        <w:t xml:space="preserve">, and </w:t>
      </w:r>
      <w:r w:rsidRPr="006F6242">
        <w:rPr>
          <w:b/>
          <w:sz w:val="24"/>
          <w:szCs w:val="24"/>
        </w:rPr>
        <w:t>Switzerland</w:t>
      </w:r>
      <w:r w:rsidRPr="001A62CB">
        <w:rPr>
          <w:sz w:val="24"/>
          <w:szCs w:val="24"/>
        </w:rPr>
        <w:t xml:space="preserve">. </w:t>
      </w:r>
      <w:r>
        <w:rPr>
          <w:sz w:val="24"/>
          <w:szCs w:val="24"/>
        </w:rPr>
        <w:t>Not all respondents answered all questions. The span of our analysis is quite long (2006-2012) and it covers both expansionary and recessionary economic times.  In the period immediately following 2006, many Member States were still expanding their public service to take account of extra responsibilities arising from their recent membership of the EU. This factor, and general economic</w:t>
      </w:r>
      <w:r w:rsidR="00724A4D">
        <w:rPr>
          <w:sz w:val="24"/>
          <w:szCs w:val="24"/>
        </w:rPr>
        <w:t xml:space="preserve"> </w:t>
      </w:r>
      <w:r w:rsidR="003E4FC2">
        <w:rPr>
          <w:sz w:val="24"/>
          <w:szCs w:val="24"/>
        </w:rPr>
        <w:t>prosperity,</w:t>
      </w:r>
      <w:r>
        <w:rPr>
          <w:sz w:val="24"/>
          <w:szCs w:val="24"/>
        </w:rPr>
        <w:t xml:space="preserve"> led to a peak in numbers around 2008 with numbers </w:t>
      </w:r>
      <w:r w:rsidR="00B946F2">
        <w:rPr>
          <w:sz w:val="24"/>
          <w:szCs w:val="24"/>
        </w:rPr>
        <w:t xml:space="preserve">declining </w:t>
      </w:r>
      <w:r>
        <w:rPr>
          <w:sz w:val="24"/>
          <w:szCs w:val="24"/>
        </w:rPr>
        <w:t>thereafter.</w:t>
      </w:r>
    </w:p>
    <w:p w:rsidR="009270D8" w:rsidRDefault="009270D8">
      <w:pPr>
        <w:spacing w:after="0" w:line="240" w:lineRule="auto"/>
        <w:rPr>
          <w:b/>
          <w:sz w:val="24"/>
          <w:szCs w:val="24"/>
        </w:rPr>
      </w:pPr>
      <w:r>
        <w:rPr>
          <w:b/>
          <w:sz w:val="24"/>
          <w:szCs w:val="24"/>
        </w:rPr>
        <w:br w:type="page"/>
      </w:r>
    </w:p>
    <w:p w:rsidR="008D3C32" w:rsidRPr="008B3900" w:rsidRDefault="008D3C32" w:rsidP="003E4FC2">
      <w:pPr>
        <w:jc w:val="both"/>
        <w:rPr>
          <w:b/>
          <w:sz w:val="24"/>
          <w:szCs w:val="24"/>
        </w:rPr>
      </w:pPr>
      <w:r w:rsidRPr="008B3900">
        <w:rPr>
          <w:b/>
          <w:sz w:val="24"/>
          <w:szCs w:val="24"/>
        </w:rPr>
        <w:lastRenderedPageBreak/>
        <w:t xml:space="preserve">The </w:t>
      </w:r>
      <w:r w:rsidR="00684F68" w:rsidRPr="008B3900">
        <w:rPr>
          <w:b/>
          <w:sz w:val="24"/>
          <w:szCs w:val="24"/>
        </w:rPr>
        <w:t xml:space="preserve">key </w:t>
      </w:r>
      <w:r w:rsidRPr="008B3900">
        <w:rPr>
          <w:b/>
          <w:sz w:val="24"/>
          <w:szCs w:val="24"/>
        </w:rPr>
        <w:t>response</w:t>
      </w:r>
      <w:r w:rsidR="00684F68" w:rsidRPr="008B3900">
        <w:rPr>
          <w:b/>
          <w:sz w:val="24"/>
          <w:szCs w:val="24"/>
        </w:rPr>
        <w:t>s</w:t>
      </w:r>
      <w:r w:rsidRPr="008B3900">
        <w:rPr>
          <w:b/>
          <w:sz w:val="24"/>
          <w:szCs w:val="24"/>
        </w:rPr>
        <w:t xml:space="preserve"> by category </w:t>
      </w:r>
      <w:r w:rsidR="00E56127" w:rsidRPr="008B3900">
        <w:rPr>
          <w:b/>
          <w:sz w:val="24"/>
          <w:szCs w:val="24"/>
        </w:rPr>
        <w:t>are</w:t>
      </w:r>
      <w:r w:rsidRPr="008B3900">
        <w:rPr>
          <w:b/>
          <w:sz w:val="24"/>
          <w:szCs w:val="24"/>
        </w:rPr>
        <w:t xml:space="preserve"> </w:t>
      </w:r>
      <w:r w:rsidR="00684F68" w:rsidRPr="008B3900">
        <w:rPr>
          <w:b/>
          <w:sz w:val="24"/>
          <w:szCs w:val="24"/>
        </w:rPr>
        <w:t xml:space="preserve">summarised </w:t>
      </w:r>
      <w:r w:rsidRPr="008B3900">
        <w:rPr>
          <w:b/>
          <w:sz w:val="24"/>
          <w:szCs w:val="24"/>
        </w:rPr>
        <w:t>as follows:</w:t>
      </w:r>
    </w:p>
    <w:p w:rsidR="008D3C32" w:rsidRDefault="008D3C32" w:rsidP="003E4FC2">
      <w:pPr>
        <w:spacing w:after="0" w:line="240" w:lineRule="auto"/>
        <w:jc w:val="both"/>
        <w:rPr>
          <w:sz w:val="24"/>
          <w:szCs w:val="24"/>
        </w:rPr>
      </w:pPr>
    </w:p>
    <w:p w:rsidR="00276F8B" w:rsidRPr="008B3900" w:rsidRDefault="00CF33B4" w:rsidP="003E4FC2">
      <w:pPr>
        <w:spacing w:after="0" w:line="240" w:lineRule="auto"/>
        <w:jc w:val="both"/>
        <w:rPr>
          <w:b/>
          <w:sz w:val="24"/>
          <w:szCs w:val="24"/>
          <w:u w:val="single"/>
        </w:rPr>
      </w:pPr>
      <w:r>
        <w:rPr>
          <w:b/>
          <w:sz w:val="24"/>
          <w:szCs w:val="24"/>
          <w:u w:val="single"/>
        </w:rPr>
        <w:t>(a)</w:t>
      </w:r>
      <w:r>
        <w:rPr>
          <w:b/>
          <w:sz w:val="24"/>
          <w:szCs w:val="24"/>
          <w:u w:val="single"/>
        </w:rPr>
        <w:tab/>
      </w:r>
      <w:r w:rsidRPr="008B3900">
        <w:rPr>
          <w:b/>
          <w:sz w:val="24"/>
          <w:szCs w:val="24"/>
          <w:u w:val="single"/>
        </w:rPr>
        <w:t xml:space="preserve"> </w:t>
      </w:r>
      <w:r w:rsidR="00276F8B" w:rsidRPr="008B3900">
        <w:rPr>
          <w:b/>
          <w:sz w:val="24"/>
          <w:szCs w:val="24"/>
          <w:u w:val="single"/>
        </w:rPr>
        <w:t>Number of Public Servants</w:t>
      </w:r>
    </w:p>
    <w:p w:rsidR="0098568F" w:rsidRDefault="006C0E21" w:rsidP="003E4FC2">
      <w:pPr>
        <w:spacing w:after="0" w:line="240" w:lineRule="auto"/>
        <w:jc w:val="both"/>
        <w:rPr>
          <w:sz w:val="24"/>
          <w:szCs w:val="24"/>
        </w:rPr>
      </w:pPr>
      <w:r>
        <w:rPr>
          <w:sz w:val="24"/>
          <w:szCs w:val="24"/>
        </w:rPr>
        <w:t xml:space="preserve">Seventeen Member States </w:t>
      </w:r>
      <w:r w:rsidRPr="006F6242">
        <w:rPr>
          <w:b/>
          <w:sz w:val="24"/>
          <w:szCs w:val="24"/>
        </w:rPr>
        <w:t>(</w:t>
      </w:r>
      <w:r w:rsidRPr="00724A4D">
        <w:rPr>
          <w:b/>
          <w:sz w:val="24"/>
          <w:szCs w:val="24"/>
        </w:rPr>
        <w:t>Austria, Belgium, Cyprus, the Czech Republic, Estonia, Finland, France, Germany, Hungary, Ireland, Italy, Latvia, Malta, Po</w:t>
      </w:r>
      <w:r w:rsidR="009D42D4">
        <w:rPr>
          <w:b/>
          <w:sz w:val="24"/>
          <w:szCs w:val="24"/>
        </w:rPr>
        <w:t>rtugal, Slovakia, Slovenia and t</w:t>
      </w:r>
      <w:r w:rsidRPr="00724A4D">
        <w:rPr>
          <w:b/>
          <w:sz w:val="24"/>
          <w:szCs w:val="24"/>
        </w:rPr>
        <w:t>he UK</w:t>
      </w:r>
      <w:r w:rsidRPr="006F6242">
        <w:rPr>
          <w:b/>
          <w:sz w:val="24"/>
          <w:szCs w:val="24"/>
        </w:rPr>
        <w:t xml:space="preserve">) </w:t>
      </w:r>
      <w:r>
        <w:rPr>
          <w:sz w:val="24"/>
          <w:szCs w:val="24"/>
        </w:rPr>
        <w:t xml:space="preserve">reported a decrease in the number of civil servants/public servants since the 2006 </w:t>
      </w:r>
      <w:r w:rsidR="00C51993">
        <w:rPr>
          <w:sz w:val="24"/>
          <w:szCs w:val="24"/>
        </w:rPr>
        <w:t>Survey</w:t>
      </w:r>
      <w:r>
        <w:rPr>
          <w:sz w:val="24"/>
          <w:szCs w:val="24"/>
        </w:rPr>
        <w:t>. The decrease ranges from 3% to 35%</w:t>
      </w:r>
      <w:r w:rsidR="00724A4D">
        <w:rPr>
          <w:sz w:val="24"/>
          <w:szCs w:val="24"/>
        </w:rPr>
        <w:t xml:space="preserve"> compared to the base year.</w:t>
      </w:r>
      <w:r>
        <w:rPr>
          <w:sz w:val="24"/>
          <w:szCs w:val="24"/>
        </w:rPr>
        <w:t xml:space="preserve"> </w:t>
      </w:r>
      <w:r w:rsidR="0098568F">
        <w:rPr>
          <w:sz w:val="24"/>
          <w:szCs w:val="24"/>
        </w:rPr>
        <w:t>Significant change is reported i</w:t>
      </w:r>
      <w:r w:rsidR="005362C8">
        <w:rPr>
          <w:sz w:val="24"/>
          <w:szCs w:val="24"/>
        </w:rPr>
        <w:t>n</w:t>
      </w:r>
      <w:r w:rsidR="0098568F">
        <w:rPr>
          <w:sz w:val="24"/>
          <w:szCs w:val="24"/>
        </w:rPr>
        <w:t xml:space="preserve"> some Member States such as </w:t>
      </w:r>
      <w:r w:rsidR="00E56127">
        <w:rPr>
          <w:sz w:val="24"/>
          <w:szCs w:val="24"/>
        </w:rPr>
        <w:t>Finland</w:t>
      </w:r>
      <w:r w:rsidR="0098568F">
        <w:rPr>
          <w:sz w:val="24"/>
          <w:szCs w:val="24"/>
        </w:rPr>
        <w:t xml:space="preserve"> </w:t>
      </w:r>
      <w:r w:rsidR="005362C8">
        <w:rPr>
          <w:sz w:val="24"/>
          <w:szCs w:val="24"/>
        </w:rPr>
        <w:t>which reports a 35% decrease primarily</w:t>
      </w:r>
      <w:r w:rsidR="00724A4D">
        <w:rPr>
          <w:sz w:val="24"/>
          <w:szCs w:val="24"/>
        </w:rPr>
        <w:t xml:space="preserve"> due to the </w:t>
      </w:r>
      <w:r w:rsidR="0098568F">
        <w:rPr>
          <w:sz w:val="24"/>
          <w:szCs w:val="24"/>
        </w:rPr>
        <w:t xml:space="preserve">transfer of </w:t>
      </w:r>
      <w:r w:rsidR="005362C8">
        <w:rPr>
          <w:sz w:val="24"/>
          <w:szCs w:val="24"/>
        </w:rPr>
        <w:t>staff from</w:t>
      </w:r>
      <w:r w:rsidR="00724A4D">
        <w:rPr>
          <w:sz w:val="24"/>
          <w:szCs w:val="24"/>
        </w:rPr>
        <w:t xml:space="preserve"> the </w:t>
      </w:r>
      <w:r w:rsidR="0098568F">
        <w:rPr>
          <w:sz w:val="24"/>
          <w:szCs w:val="24"/>
        </w:rPr>
        <w:t xml:space="preserve">university sector </w:t>
      </w:r>
      <w:r w:rsidR="005362C8">
        <w:rPr>
          <w:sz w:val="24"/>
          <w:szCs w:val="24"/>
        </w:rPr>
        <w:t>to the</w:t>
      </w:r>
      <w:r w:rsidR="00724A4D">
        <w:rPr>
          <w:sz w:val="24"/>
          <w:szCs w:val="24"/>
        </w:rPr>
        <w:t xml:space="preserve"> </w:t>
      </w:r>
      <w:r w:rsidR="0098568F">
        <w:rPr>
          <w:sz w:val="24"/>
          <w:szCs w:val="24"/>
        </w:rPr>
        <w:t>private sector</w:t>
      </w:r>
      <w:r w:rsidR="00E56127">
        <w:rPr>
          <w:sz w:val="24"/>
          <w:szCs w:val="24"/>
        </w:rPr>
        <w:t xml:space="preserve">. </w:t>
      </w:r>
    </w:p>
    <w:p w:rsidR="009270D8" w:rsidRDefault="009270D8" w:rsidP="003E4FC2">
      <w:pPr>
        <w:spacing w:after="0" w:line="240" w:lineRule="auto"/>
        <w:jc w:val="both"/>
        <w:rPr>
          <w:sz w:val="24"/>
          <w:szCs w:val="24"/>
        </w:rPr>
      </w:pPr>
    </w:p>
    <w:p w:rsidR="00684F68" w:rsidRDefault="00E56127" w:rsidP="003E4FC2">
      <w:pPr>
        <w:spacing w:after="0" w:line="240" w:lineRule="auto"/>
        <w:jc w:val="both"/>
        <w:rPr>
          <w:sz w:val="24"/>
          <w:szCs w:val="24"/>
        </w:rPr>
      </w:pPr>
      <w:r>
        <w:rPr>
          <w:sz w:val="24"/>
          <w:szCs w:val="24"/>
        </w:rPr>
        <w:t xml:space="preserve">There is a definite downward trend and even those Member States reporting increased numbers </w:t>
      </w:r>
      <w:r w:rsidR="00AE38AB" w:rsidRPr="003E4FC2">
        <w:rPr>
          <w:sz w:val="24"/>
          <w:szCs w:val="24"/>
        </w:rPr>
        <w:t>(</w:t>
      </w:r>
      <w:r w:rsidR="00AE38AB" w:rsidRPr="00A662B7">
        <w:rPr>
          <w:b/>
          <w:sz w:val="24"/>
          <w:szCs w:val="24"/>
        </w:rPr>
        <w:t>Bulgaria,</w:t>
      </w:r>
      <w:r w:rsidR="00AE38AB">
        <w:rPr>
          <w:sz w:val="24"/>
          <w:szCs w:val="24"/>
        </w:rPr>
        <w:t xml:space="preserve"> </w:t>
      </w:r>
      <w:r w:rsidR="00AE38AB" w:rsidRPr="001074E8">
        <w:rPr>
          <w:b/>
          <w:sz w:val="24"/>
          <w:szCs w:val="24"/>
        </w:rPr>
        <w:t xml:space="preserve">Denmark, </w:t>
      </w:r>
      <w:r w:rsidR="00AE38AB">
        <w:rPr>
          <w:b/>
          <w:sz w:val="24"/>
          <w:szCs w:val="24"/>
        </w:rPr>
        <w:t xml:space="preserve">Greece, Lithuania, </w:t>
      </w:r>
      <w:r w:rsidR="00AE38AB" w:rsidRPr="001074E8">
        <w:rPr>
          <w:b/>
          <w:sz w:val="24"/>
          <w:szCs w:val="24"/>
        </w:rPr>
        <w:t>Luxembourg,</w:t>
      </w:r>
      <w:r w:rsidR="00AE38AB">
        <w:rPr>
          <w:b/>
          <w:sz w:val="24"/>
          <w:szCs w:val="24"/>
        </w:rPr>
        <w:t xml:space="preserve"> </w:t>
      </w:r>
      <w:r w:rsidR="009270D8">
        <w:rPr>
          <w:b/>
          <w:sz w:val="24"/>
          <w:szCs w:val="24"/>
        </w:rPr>
        <w:t>t</w:t>
      </w:r>
      <w:r w:rsidR="00AE38AB" w:rsidRPr="001074E8">
        <w:rPr>
          <w:b/>
          <w:sz w:val="24"/>
          <w:szCs w:val="24"/>
        </w:rPr>
        <w:t>he Netherlands</w:t>
      </w:r>
      <w:r w:rsidR="00AE38AB">
        <w:rPr>
          <w:b/>
          <w:sz w:val="24"/>
          <w:szCs w:val="24"/>
        </w:rPr>
        <w:t>, Poland, Romania, Spain, and Sweden</w:t>
      </w:r>
      <w:r w:rsidR="00AE38AB">
        <w:rPr>
          <w:sz w:val="24"/>
          <w:szCs w:val="24"/>
        </w:rPr>
        <w:t xml:space="preserve">) qualify the increases by reference to a peak in numbers reached </w:t>
      </w:r>
      <w:r w:rsidR="003E4FC2">
        <w:rPr>
          <w:sz w:val="24"/>
          <w:szCs w:val="24"/>
        </w:rPr>
        <w:t>in the</w:t>
      </w:r>
      <w:r w:rsidR="00CF33B4">
        <w:rPr>
          <w:sz w:val="24"/>
          <w:szCs w:val="24"/>
        </w:rPr>
        <w:t xml:space="preserve"> period </w:t>
      </w:r>
      <w:r w:rsidR="009270D8">
        <w:rPr>
          <w:sz w:val="24"/>
          <w:szCs w:val="24"/>
        </w:rPr>
        <w:t xml:space="preserve">around </w:t>
      </w:r>
      <w:r w:rsidR="00AE38AB">
        <w:rPr>
          <w:sz w:val="24"/>
          <w:szCs w:val="24"/>
        </w:rPr>
        <w:t xml:space="preserve">2008/9. </w:t>
      </w:r>
      <w:r w:rsidR="0098568F">
        <w:rPr>
          <w:sz w:val="24"/>
          <w:szCs w:val="24"/>
        </w:rPr>
        <w:t>In some cases (</w:t>
      </w:r>
      <w:r w:rsidR="0098568F" w:rsidRPr="006F6242">
        <w:rPr>
          <w:b/>
          <w:sz w:val="24"/>
          <w:szCs w:val="24"/>
        </w:rPr>
        <w:t xml:space="preserve">Bulgaria, </w:t>
      </w:r>
      <w:r w:rsidR="0098568F" w:rsidRPr="00CF33B4">
        <w:rPr>
          <w:b/>
          <w:sz w:val="24"/>
          <w:szCs w:val="24"/>
        </w:rPr>
        <w:t>Greece, and Romania</w:t>
      </w:r>
      <w:r w:rsidR="0098568F">
        <w:rPr>
          <w:sz w:val="24"/>
          <w:szCs w:val="24"/>
        </w:rPr>
        <w:t xml:space="preserve">) restructuring has led to an increase in numbers where staff not previously classified as civil or public servants are included in more recent figures. </w:t>
      </w:r>
    </w:p>
    <w:p w:rsidR="00E56127" w:rsidRDefault="00E56127" w:rsidP="003E4FC2">
      <w:pPr>
        <w:spacing w:after="0" w:line="240" w:lineRule="auto"/>
        <w:jc w:val="both"/>
        <w:rPr>
          <w:sz w:val="24"/>
          <w:szCs w:val="24"/>
        </w:rPr>
      </w:pPr>
    </w:p>
    <w:p w:rsidR="00E56127" w:rsidRPr="008B3900" w:rsidRDefault="00CF33B4" w:rsidP="003E4FC2">
      <w:pPr>
        <w:spacing w:after="0" w:line="240" w:lineRule="auto"/>
        <w:jc w:val="both"/>
        <w:rPr>
          <w:b/>
          <w:sz w:val="24"/>
          <w:szCs w:val="24"/>
          <w:u w:val="single"/>
        </w:rPr>
      </w:pPr>
      <w:r>
        <w:rPr>
          <w:b/>
          <w:sz w:val="24"/>
          <w:szCs w:val="24"/>
          <w:u w:val="single"/>
        </w:rPr>
        <w:t xml:space="preserve">(b) </w:t>
      </w:r>
      <w:r>
        <w:rPr>
          <w:b/>
          <w:sz w:val="24"/>
          <w:szCs w:val="24"/>
          <w:u w:val="single"/>
        </w:rPr>
        <w:tab/>
      </w:r>
      <w:r w:rsidR="00E56127" w:rsidRPr="008B3900">
        <w:rPr>
          <w:b/>
          <w:sz w:val="24"/>
          <w:szCs w:val="24"/>
          <w:u w:val="single"/>
        </w:rPr>
        <w:t>Changes in rates of pay</w:t>
      </w:r>
    </w:p>
    <w:p w:rsidR="00BB72DC" w:rsidRDefault="00BB72DC" w:rsidP="003E4FC2">
      <w:pPr>
        <w:spacing w:after="0" w:line="240" w:lineRule="auto"/>
        <w:jc w:val="both"/>
        <w:rPr>
          <w:b/>
          <w:sz w:val="24"/>
          <w:szCs w:val="24"/>
        </w:rPr>
      </w:pPr>
      <w:r>
        <w:rPr>
          <w:sz w:val="24"/>
          <w:szCs w:val="24"/>
        </w:rPr>
        <w:t xml:space="preserve">Ten Member States </w:t>
      </w:r>
      <w:r w:rsidRPr="001A62CB">
        <w:rPr>
          <w:sz w:val="24"/>
          <w:szCs w:val="24"/>
        </w:rPr>
        <w:t>(</w:t>
      </w:r>
      <w:r w:rsidRPr="001A62CB">
        <w:rPr>
          <w:b/>
          <w:sz w:val="24"/>
          <w:szCs w:val="24"/>
        </w:rPr>
        <w:t xml:space="preserve">Cyprus, the Czech Republic, Estonia, Greece, Ireland, Latvia, Lithuania, Portugal, Romania, </w:t>
      </w:r>
      <w:r>
        <w:rPr>
          <w:b/>
          <w:sz w:val="24"/>
          <w:szCs w:val="24"/>
        </w:rPr>
        <w:t>and Slovenia</w:t>
      </w:r>
      <w:r w:rsidRPr="001A62CB">
        <w:rPr>
          <w:sz w:val="24"/>
          <w:szCs w:val="24"/>
        </w:rPr>
        <w:t>)</w:t>
      </w:r>
      <w:r>
        <w:rPr>
          <w:sz w:val="24"/>
          <w:szCs w:val="24"/>
        </w:rPr>
        <w:t xml:space="preserve"> reported a </w:t>
      </w:r>
      <w:r w:rsidRPr="001A62CB">
        <w:rPr>
          <w:sz w:val="24"/>
          <w:szCs w:val="24"/>
        </w:rPr>
        <w:t>reduction</w:t>
      </w:r>
      <w:r>
        <w:rPr>
          <w:sz w:val="24"/>
          <w:szCs w:val="24"/>
        </w:rPr>
        <w:t xml:space="preserve"> in</w:t>
      </w:r>
      <w:r w:rsidRPr="001A62CB">
        <w:rPr>
          <w:sz w:val="24"/>
          <w:szCs w:val="24"/>
        </w:rPr>
        <w:t xml:space="preserve"> rates of pay </w:t>
      </w:r>
      <w:r>
        <w:rPr>
          <w:sz w:val="24"/>
          <w:szCs w:val="24"/>
        </w:rPr>
        <w:t xml:space="preserve">/ allowances / bonuses </w:t>
      </w:r>
      <w:r w:rsidRPr="001A62CB">
        <w:rPr>
          <w:sz w:val="24"/>
          <w:szCs w:val="24"/>
        </w:rPr>
        <w:t>since 2009</w:t>
      </w:r>
      <w:r>
        <w:rPr>
          <w:sz w:val="24"/>
          <w:szCs w:val="24"/>
        </w:rPr>
        <w:t xml:space="preserve">, </w:t>
      </w:r>
      <w:r w:rsidR="0098568F">
        <w:rPr>
          <w:sz w:val="24"/>
          <w:szCs w:val="24"/>
        </w:rPr>
        <w:t>by as much as 2</w:t>
      </w:r>
      <w:r w:rsidR="00352618">
        <w:rPr>
          <w:sz w:val="24"/>
          <w:szCs w:val="24"/>
        </w:rPr>
        <w:t>5</w:t>
      </w:r>
      <w:r w:rsidR="0098568F">
        <w:rPr>
          <w:sz w:val="24"/>
          <w:szCs w:val="24"/>
        </w:rPr>
        <w:t xml:space="preserve">% in </w:t>
      </w:r>
      <w:r w:rsidR="00352618">
        <w:rPr>
          <w:b/>
          <w:sz w:val="24"/>
          <w:szCs w:val="24"/>
        </w:rPr>
        <w:t xml:space="preserve">Romania </w:t>
      </w:r>
      <w:r w:rsidR="00352618" w:rsidRPr="00352618">
        <w:rPr>
          <w:sz w:val="24"/>
          <w:szCs w:val="24"/>
        </w:rPr>
        <w:t>and 24</w:t>
      </w:r>
      <w:r w:rsidR="00352618">
        <w:rPr>
          <w:sz w:val="24"/>
          <w:szCs w:val="24"/>
        </w:rPr>
        <w:t xml:space="preserve">% </w:t>
      </w:r>
      <w:r w:rsidR="00352618" w:rsidRPr="00352618">
        <w:rPr>
          <w:sz w:val="24"/>
          <w:szCs w:val="24"/>
        </w:rPr>
        <w:t xml:space="preserve">in </w:t>
      </w:r>
      <w:r w:rsidR="00352618">
        <w:rPr>
          <w:b/>
          <w:sz w:val="24"/>
          <w:szCs w:val="24"/>
        </w:rPr>
        <w:t xml:space="preserve">Latvia. </w:t>
      </w:r>
    </w:p>
    <w:p w:rsidR="00BB72DC" w:rsidRDefault="00BB72DC" w:rsidP="003E4FC2">
      <w:pPr>
        <w:spacing w:after="0" w:line="240" w:lineRule="auto"/>
        <w:jc w:val="both"/>
        <w:rPr>
          <w:b/>
          <w:sz w:val="24"/>
          <w:szCs w:val="24"/>
        </w:rPr>
      </w:pPr>
    </w:p>
    <w:p w:rsidR="00E56127" w:rsidRPr="0098568F" w:rsidRDefault="00BB72DC" w:rsidP="003E4FC2">
      <w:pPr>
        <w:spacing w:after="0" w:line="240" w:lineRule="auto"/>
        <w:jc w:val="both"/>
        <w:rPr>
          <w:sz w:val="24"/>
          <w:szCs w:val="24"/>
        </w:rPr>
      </w:pPr>
      <w:r>
        <w:rPr>
          <w:sz w:val="24"/>
          <w:szCs w:val="24"/>
        </w:rPr>
        <w:t xml:space="preserve">A further six Member States </w:t>
      </w:r>
      <w:r w:rsidRPr="00257991">
        <w:rPr>
          <w:sz w:val="24"/>
          <w:szCs w:val="24"/>
        </w:rPr>
        <w:t>(</w:t>
      </w:r>
      <w:r w:rsidRPr="001A62CB">
        <w:rPr>
          <w:b/>
          <w:sz w:val="24"/>
          <w:szCs w:val="24"/>
        </w:rPr>
        <w:t>France,</w:t>
      </w:r>
      <w:r w:rsidRPr="00826165">
        <w:rPr>
          <w:b/>
          <w:sz w:val="24"/>
          <w:szCs w:val="24"/>
        </w:rPr>
        <w:t xml:space="preserve"> </w:t>
      </w:r>
      <w:r w:rsidRPr="001A62CB">
        <w:rPr>
          <w:b/>
          <w:sz w:val="24"/>
          <w:szCs w:val="24"/>
        </w:rPr>
        <w:t>Hungary,</w:t>
      </w:r>
      <w:r w:rsidRPr="00826165">
        <w:rPr>
          <w:b/>
          <w:sz w:val="24"/>
          <w:szCs w:val="24"/>
        </w:rPr>
        <w:t xml:space="preserve"> </w:t>
      </w:r>
      <w:r w:rsidRPr="001A62CB">
        <w:rPr>
          <w:b/>
          <w:sz w:val="24"/>
          <w:szCs w:val="24"/>
        </w:rPr>
        <w:t>Italy,</w:t>
      </w:r>
      <w:r w:rsidRPr="00087FC1">
        <w:rPr>
          <w:b/>
          <w:sz w:val="24"/>
          <w:szCs w:val="24"/>
        </w:rPr>
        <w:t xml:space="preserve"> </w:t>
      </w:r>
      <w:r w:rsidRPr="001A62CB">
        <w:rPr>
          <w:b/>
          <w:sz w:val="24"/>
          <w:szCs w:val="24"/>
        </w:rPr>
        <w:t>Poland,</w:t>
      </w:r>
      <w:r w:rsidRPr="001A62CB">
        <w:rPr>
          <w:sz w:val="24"/>
          <w:szCs w:val="24"/>
        </w:rPr>
        <w:t xml:space="preserve"> </w:t>
      </w:r>
      <w:r w:rsidRPr="001A62CB">
        <w:rPr>
          <w:b/>
          <w:sz w:val="24"/>
          <w:szCs w:val="24"/>
        </w:rPr>
        <w:t>Spain</w:t>
      </w:r>
      <w:r>
        <w:rPr>
          <w:b/>
          <w:sz w:val="24"/>
          <w:szCs w:val="24"/>
        </w:rPr>
        <w:t xml:space="preserve"> and the UK</w:t>
      </w:r>
      <w:r w:rsidRPr="00257991">
        <w:rPr>
          <w:sz w:val="24"/>
          <w:szCs w:val="24"/>
        </w:rPr>
        <w:t>)</w:t>
      </w:r>
      <w:r w:rsidRPr="001A62CB">
        <w:rPr>
          <w:b/>
          <w:sz w:val="24"/>
          <w:szCs w:val="24"/>
        </w:rPr>
        <w:t xml:space="preserve"> </w:t>
      </w:r>
      <w:r w:rsidRPr="00971C5C">
        <w:rPr>
          <w:sz w:val="24"/>
          <w:szCs w:val="24"/>
        </w:rPr>
        <w:t>reported</w:t>
      </w:r>
      <w:r>
        <w:rPr>
          <w:b/>
          <w:sz w:val="24"/>
          <w:szCs w:val="24"/>
        </w:rPr>
        <w:t xml:space="preserve"> </w:t>
      </w:r>
      <w:r>
        <w:rPr>
          <w:sz w:val="24"/>
          <w:szCs w:val="24"/>
        </w:rPr>
        <w:t xml:space="preserve">pay freezes </w:t>
      </w:r>
      <w:r w:rsidR="003005DC">
        <w:rPr>
          <w:sz w:val="24"/>
          <w:szCs w:val="24"/>
        </w:rPr>
        <w:t xml:space="preserve">or deferral of increases </w:t>
      </w:r>
      <w:r w:rsidR="0098568F">
        <w:rPr>
          <w:sz w:val="24"/>
          <w:szCs w:val="24"/>
        </w:rPr>
        <w:t xml:space="preserve">as a response to the </w:t>
      </w:r>
      <w:r w:rsidR="002911FF">
        <w:rPr>
          <w:sz w:val="24"/>
          <w:szCs w:val="24"/>
        </w:rPr>
        <w:t>C</w:t>
      </w:r>
      <w:r w:rsidR="0098568F">
        <w:rPr>
          <w:sz w:val="24"/>
          <w:szCs w:val="24"/>
        </w:rPr>
        <w:t xml:space="preserve">risis. </w:t>
      </w:r>
      <w:r>
        <w:rPr>
          <w:sz w:val="24"/>
          <w:szCs w:val="24"/>
        </w:rPr>
        <w:t>T</w:t>
      </w:r>
      <w:r w:rsidR="009D42D4">
        <w:rPr>
          <w:sz w:val="24"/>
          <w:szCs w:val="24"/>
        </w:rPr>
        <w:t>hree</w:t>
      </w:r>
      <w:r w:rsidR="0098568F">
        <w:rPr>
          <w:sz w:val="24"/>
          <w:szCs w:val="24"/>
        </w:rPr>
        <w:t xml:space="preserve"> Member S</w:t>
      </w:r>
      <w:r w:rsidR="003005DC">
        <w:rPr>
          <w:sz w:val="24"/>
          <w:szCs w:val="24"/>
        </w:rPr>
        <w:t>t</w:t>
      </w:r>
      <w:r w:rsidR="0098568F">
        <w:rPr>
          <w:sz w:val="24"/>
          <w:szCs w:val="24"/>
        </w:rPr>
        <w:t xml:space="preserve">ates </w:t>
      </w:r>
      <w:r w:rsidR="003005DC">
        <w:rPr>
          <w:sz w:val="24"/>
          <w:szCs w:val="24"/>
        </w:rPr>
        <w:t>(</w:t>
      </w:r>
      <w:r w:rsidR="003005DC">
        <w:rPr>
          <w:b/>
          <w:sz w:val="24"/>
          <w:szCs w:val="24"/>
        </w:rPr>
        <w:t>Finland</w:t>
      </w:r>
      <w:r w:rsidR="009D42D4">
        <w:rPr>
          <w:b/>
          <w:sz w:val="24"/>
          <w:szCs w:val="24"/>
        </w:rPr>
        <w:t xml:space="preserve">, </w:t>
      </w:r>
      <w:r w:rsidR="003005DC" w:rsidRPr="003005DC">
        <w:rPr>
          <w:b/>
          <w:sz w:val="24"/>
          <w:szCs w:val="24"/>
        </w:rPr>
        <w:t>Malta</w:t>
      </w:r>
      <w:r w:rsidR="009D42D4">
        <w:rPr>
          <w:b/>
          <w:sz w:val="24"/>
          <w:szCs w:val="24"/>
        </w:rPr>
        <w:t xml:space="preserve"> and Slovakia</w:t>
      </w:r>
      <w:r w:rsidR="003005DC">
        <w:rPr>
          <w:sz w:val="24"/>
          <w:szCs w:val="24"/>
        </w:rPr>
        <w:t xml:space="preserve">) </w:t>
      </w:r>
      <w:r w:rsidR="0098568F" w:rsidRPr="003005DC">
        <w:rPr>
          <w:sz w:val="24"/>
          <w:szCs w:val="24"/>
        </w:rPr>
        <w:t>report</w:t>
      </w:r>
      <w:r w:rsidR="0098568F">
        <w:rPr>
          <w:sz w:val="24"/>
          <w:szCs w:val="24"/>
        </w:rPr>
        <w:t xml:space="preserve"> an increase in pay</w:t>
      </w:r>
      <w:r w:rsidR="003005DC">
        <w:rPr>
          <w:sz w:val="24"/>
          <w:szCs w:val="24"/>
        </w:rPr>
        <w:t xml:space="preserve">. </w:t>
      </w:r>
      <w:r w:rsidR="0098568F">
        <w:rPr>
          <w:sz w:val="24"/>
          <w:szCs w:val="24"/>
        </w:rPr>
        <w:t xml:space="preserve"> </w:t>
      </w:r>
    </w:p>
    <w:p w:rsidR="003B7D63" w:rsidRDefault="003B7D63" w:rsidP="003E4FC2">
      <w:pPr>
        <w:spacing w:after="0" w:line="240" w:lineRule="auto"/>
        <w:jc w:val="both"/>
        <w:rPr>
          <w:b/>
          <w:sz w:val="24"/>
          <w:szCs w:val="24"/>
        </w:rPr>
      </w:pPr>
    </w:p>
    <w:p w:rsidR="003005DC" w:rsidRPr="008B3900" w:rsidRDefault="00CF33B4" w:rsidP="003E4FC2">
      <w:pPr>
        <w:spacing w:after="0" w:line="240" w:lineRule="auto"/>
        <w:jc w:val="both"/>
        <w:rPr>
          <w:b/>
          <w:sz w:val="24"/>
          <w:szCs w:val="24"/>
          <w:u w:val="single"/>
        </w:rPr>
      </w:pPr>
      <w:r>
        <w:rPr>
          <w:b/>
          <w:sz w:val="24"/>
          <w:szCs w:val="24"/>
          <w:u w:val="single"/>
        </w:rPr>
        <w:t xml:space="preserve">(c) </w:t>
      </w:r>
      <w:r>
        <w:rPr>
          <w:b/>
          <w:sz w:val="24"/>
          <w:szCs w:val="24"/>
          <w:u w:val="single"/>
        </w:rPr>
        <w:tab/>
      </w:r>
      <w:r w:rsidR="003005DC" w:rsidRPr="008B3900">
        <w:rPr>
          <w:b/>
          <w:sz w:val="24"/>
          <w:szCs w:val="24"/>
          <w:u w:val="single"/>
        </w:rPr>
        <w:t>Changes in rates of pension</w:t>
      </w:r>
    </w:p>
    <w:p w:rsidR="005505AB" w:rsidRDefault="008E74CE" w:rsidP="003E4FC2">
      <w:pPr>
        <w:spacing w:after="0" w:line="240" w:lineRule="auto"/>
        <w:jc w:val="both"/>
        <w:rPr>
          <w:sz w:val="24"/>
          <w:szCs w:val="24"/>
        </w:rPr>
      </w:pPr>
      <w:r>
        <w:rPr>
          <w:sz w:val="24"/>
          <w:szCs w:val="24"/>
        </w:rPr>
        <w:t>Four</w:t>
      </w:r>
      <w:r w:rsidR="005505AB">
        <w:rPr>
          <w:sz w:val="24"/>
          <w:szCs w:val="24"/>
        </w:rPr>
        <w:t xml:space="preserve"> </w:t>
      </w:r>
      <w:r w:rsidR="005505AB" w:rsidRPr="001A62CB">
        <w:rPr>
          <w:sz w:val="24"/>
          <w:szCs w:val="24"/>
        </w:rPr>
        <w:t xml:space="preserve">Member States </w:t>
      </w:r>
      <w:r>
        <w:rPr>
          <w:sz w:val="24"/>
          <w:szCs w:val="24"/>
        </w:rPr>
        <w:t>(</w:t>
      </w:r>
      <w:r w:rsidR="009210BE" w:rsidRPr="006F6242">
        <w:rPr>
          <w:b/>
          <w:sz w:val="24"/>
          <w:szCs w:val="24"/>
        </w:rPr>
        <w:t>Austria, Germany, Ireland</w:t>
      </w:r>
      <w:r w:rsidR="009210BE">
        <w:rPr>
          <w:sz w:val="24"/>
          <w:szCs w:val="24"/>
        </w:rPr>
        <w:t xml:space="preserve"> and </w:t>
      </w:r>
      <w:r w:rsidR="005505AB" w:rsidRPr="006F6242">
        <w:rPr>
          <w:b/>
          <w:sz w:val="24"/>
          <w:szCs w:val="24"/>
        </w:rPr>
        <w:t>Greece</w:t>
      </w:r>
      <w:r>
        <w:rPr>
          <w:b/>
          <w:sz w:val="24"/>
          <w:szCs w:val="24"/>
        </w:rPr>
        <w:t>)</w:t>
      </w:r>
      <w:r w:rsidR="005505AB" w:rsidRPr="006F6242">
        <w:rPr>
          <w:b/>
          <w:sz w:val="24"/>
          <w:szCs w:val="24"/>
        </w:rPr>
        <w:t xml:space="preserve"> </w:t>
      </w:r>
      <w:r w:rsidR="005505AB" w:rsidRPr="009210BE">
        <w:rPr>
          <w:sz w:val="24"/>
          <w:szCs w:val="24"/>
        </w:rPr>
        <w:t>reported r</w:t>
      </w:r>
      <w:r w:rsidR="0028638F">
        <w:rPr>
          <w:sz w:val="24"/>
          <w:szCs w:val="24"/>
        </w:rPr>
        <w:t xml:space="preserve">eductions in the pension rate. </w:t>
      </w:r>
      <w:r w:rsidR="00F31899" w:rsidRPr="0028638F">
        <w:rPr>
          <w:b/>
          <w:sz w:val="24"/>
          <w:szCs w:val="24"/>
        </w:rPr>
        <w:t>Austria</w:t>
      </w:r>
      <w:r w:rsidR="00F31899" w:rsidRPr="009210BE">
        <w:rPr>
          <w:sz w:val="24"/>
          <w:szCs w:val="24"/>
        </w:rPr>
        <w:t xml:space="preserve"> reduced the pension rate by 4.2%</w:t>
      </w:r>
      <w:r w:rsidR="009210BE">
        <w:rPr>
          <w:sz w:val="24"/>
          <w:szCs w:val="24"/>
        </w:rPr>
        <w:t xml:space="preserve">, </w:t>
      </w:r>
      <w:r w:rsidR="00F31899" w:rsidRPr="0028638F">
        <w:rPr>
          <w:b/>
          <w:sz w:val="24"/>
          <w:szCs w:val="24"/>
        </w:rPr>
        <w:t>Germany</w:t>
      </w:r>
      <w:r w:rsidR="00F31899" w:rsidRPr="009210BE">
        <w:rPr>
          <w:sz w:val="24"/>
          <w:szCs w:val="24"/>
        </w:rPr>
        <w:t xml:space="preserve"> </w:t>
      </w:r>
      <w:r w:rsidR="005505AB" w:rsidRPr="009210BE">
        <w:rPr>
          <w:sz w:val="24"/>
          <w:szCs w:val="24"/>
        </w:rPr>
        <w:t>reduced the maximum pension entitlement from 75% to 71% of the pensionable final salary</w:t>
      </w:r>
      <w:r w:rsidR="009210BE">
        <w:rPr>
          <w:sz w:val="24"/>
          <w:szCs w:val="24"/>
        </w:rPr>
        <w:t xml:space="preserve"> and i</w:t>
      </w:r>
      <w:r w:rsidR="005505AB" w:rsidRPr="009210BE">
        <w:rPr>
          <w:sz w:val="24"/>
          <w:szCs w:val="24"/>
        </w:rPr>
        <w:t>n</w:t>
      </w:r>
      <w:r w:rsidR="009210BE">
        <w:rPr>
          <w:sz w:val="24"/>
          <w:szCs w:val="24"/>
        </w:rPr>
        <w:t xml:space="preserve"> </w:t>
      </w:r>
      <w:r w:rsidR="009210BE" w:rsidRPr="0028638F">
        <w:rPr>
          <w:b/>
          <w:sz w:val="24"/>
          <w:szCs w:val="24"/>
        </w:rPr>
        <w:t>Ireland</w:t>
      </w:r>
      <w:r w:rsidR="005505AB" w:rsidRPr="009210BE">
        <w:rPr>
          <w:sz w:val="24"/>
          <w:szCs w:val="24"/>
        </w:rPr>
        <w:t xml:space="preserve"> there </w:t>
      </w:r>
      <w:r w:rsidR="003F13E5">
        <w:rPr>
          <w:sz w:val="24"/>
          <w:szCs w:val="24"/>
        </w:rPr>
        <w:t xml:space="preserve">was </w:t>
      </w:r>
      <w:r w:rsidR="005505AB" w:rsidRPr="009210BE">
        <w:rPr>
          <w:sz w:val="24"/>
          <w:szCs w:val="24"/>
        </w:rPr>
        <w:t xml:space="preserve">a once-off cut </w:t>
      </w:r>
      <w:r w:rsidR="009210BE" w:rsidRPr="009210BE">
        <w:rPr>
          <w:sz w:val="24"/>
          <w:szCs w:val="24"/>
        </w:rPr>
        <w:t xml:space="preserve">of approximately 4% </w:t>
      </w:r>
      <w:r w:rsidR="005505AB" w:rsidRPr="009210BE">
        <w:rPr>
          <w:sz w:val="24"/>
          <w:szCs w:val="24"/>
        </w:rPr>
        <w:t xml:space="preserve">to public service pensions above €12,000.  </w:t>
      </w:r>
    </w:p>
    <w:p w:rsidR="00BC1CF4" w:rsidRPr="009210BE" w:rsidRDefault="00BC1CF4" w:rsidP="003E4FC2">
      <w:pPr>
        <w:spacing w:after="0" w:line="240" w:lineRule="auto"/>
        <w:jc w:val="both"/>
        <w:rPr>
          <w:sz w:val="24"/>
          <w:szCs w:val="24"/>
        </w:rPr>
      </w:pPr>
    </w:p>
    <w:p w:rsidR="003F13E5" w:rsidRDefault="005505AB" w:rsidP="003E4FC2">
      <w:pPr>
        <w:spacing w:after="0" w:line="240" w:lineRule="auto"/>
        <w:jc w:val="both"/>
        <w:rPr>
          <w:sz w:val="24"/>
          <w:szCs w:val="24"/>
        </w:rPr>
      </w:pPr>
      <w:r w:rsidRPr="009210BE">
        <w:rPr>
          <w:sz w:val="24"/>
          <w:szCs w:val="24"/>
        </w:rPr>
        <w:t xml:space="preserve">In </w:t>
      </w:r>
      <w:r w:rsidRPr="006F6242">
        <w:rPr>
          <w:b/>
          <w:sz w:val="24"/>
          <w:szCs w:val="24"/>
        </w:rPr>
        <w:t>Cyprus</w:t>
      </w:r>
      <w:r w:rsidRPr="009210BE">
        <w:rPr>
          <w:sz w:val="24"/>
          <w:szCs w:val="24"/>
        </w:rPr>
        <w:t xml:space="preserve">, there is a freeze on any increases in pensions until 2015.  In </w:t>
      </w:r>
      <w:r w:rsidRPr="006F6242">
        <w:rPr>
          <w:b/>
          <w:sz w:val="24"/>
          <w:szCs w:val="24"/>
        </w:rPr>
        <w:t>Estonia</w:t>
      </w:r>
      <w:r w:rsidRPr="009210BE">
        <w:rPr>
          <w:sz w:val="24"/>
          <w:szCs w:val="24"/>
        </w:rPr>
        <w:t xml:space="preserve">, pensions </w:t>
      </w:r>
      <w:proofErr w:type="gramStart"/>
      <w:r w:rsidRPr="009210BE">
        <w:rPr>
          <w:sz w:val="24"/>
          <w:szCs w:val="24"/>
        </w:rPr>
        <w:t>have</w:t>
      </w:r>
      <w:proofErr w:type="gramEnd"/>
      <w:r w:rsidRPr="009210BE">
        <w:rPr>
          <w:sz w:val="24"/>
          <w:szCs w:val="24"/>
        </w:rPr>
        <w:t xml:space="preserve"> not been reduced but national contributions to the mandatory pension schemes were frozen for two years from 2009</w:t>
      </w:r>
      <w:r w:rsidR="009210BE">
        <w:rPr>
          <w:sz w:val="24"/>
          <w:szCs w:val="24"/>
        </w:rPr>
        <w:t xml:space="preserve"> while in </w:t>
      </w:r>
      <w:r w:rsidRPr="009210BE">
        <w:rPr>
          <w:sz w:val="24"/>
          <w:szCs w:val="24"/>
        </w:rPr>
        <w:t xml:space="preserve">the </w:t>
      </w:r>
      <w:r w:rsidRPr="006F6242">
        <w:rPr>
          <w:b/>
          <w:sz w:val="24"/>
          <w:szCs w:val="24"/>
        </w:rPr>
        <w:t>Netherlands</w:t>
      </w:r>
      <w:r w:rsidRPr="009210BE">
        <w:rPr>
          <w:sz w:val="24"/>
          <w:szCs w:val="24"/>
        </w:rPr>
        <w:t xml:space="preserve">, pension rates have not been adjusted for inflation since 2006. </w:t>
      </w:r>
      <w:r w:rsidR="009210BE">
        <w:rPr>
          <w:sz w:val="24"/>
          <w:szCs w:val="24"/>
        </w:rPr>
        <w:t xml:space="preserve"> </w:t>
      </w:r>
    </w:p>
    <w:p w:rsidR="003F13E5" w:rsidRDefault="003F13E5" w:rsidP="003E4FC2">
      <w:pPr>
        <w:spacing w:after="0" w:line="240" w:lineRule="auto"/>
        <w:jc w:val="both"/>
        <w:rPr>
          <w:sz w:val="24"/>
          <w:szCs w:val="24"/>
        </w:rPr>
      </w:pPr>
    </w:p>
    <w:p w:rsidR="005505AB" w:rsidRDefault="005505AB" w:rsidP="003E4FC2">
      <w:pPr>
        <w:spacing w:after="0" w:line="240" w:lineRule="auto"/>
        <w:jc w:val="both"/>
        <w:rPr>
          <w:b/>
          <w:sz w:val="24"/>
          <w:szCs w:val="24"/>
        </w:rPr>
      </w:pPr>
      <w:r w:rsidRPr="009210BE">
        <w:rPr>
          <w:sz w:val="24"/>
          <w:szCs w:val="24"/>
        </w:rPr>
        <w:t>The most common changes reported by Member States were pension freezes</w:t>
      </w:r>
      <w:r w:rsidR="00C742D0">
        <w:rPr>
          <w:sz w:val="24"/>
          <w:szCs w:val="24"/>
        </w:rPr>
        <w:t xml:space="preserve"> and</w:t>
      </w:r>
      <w:r w:rsidRPr="009210BE">
        <w:rPr>
          <w:sz w:val="24"/>
          <w:szCs w:val="24"/>
        </w:rPr>
        <w:t xml:space="preserve"> pension reductions and revised </w:t>
      </w:r>
      <w:r w:rsidR="00DB30F1" w:rsidRPr="009210BE">
        <w:rPr>
          <w:sz w:val="24"/>
          <w:szCs w:val="24"/>
        </w:rPr>
        <w:t xml:space="preserve">methods </w:t>
      </w:r>
      <w:r w:rsidR="00DB30F1">
        <w:rPr>
          <w:sz w:val="24"/>
          <w:szCs w:val="24"/>
        </w:rPr>
        <w:t>for</w:t>
      </w:r>
      <w:r w:rsidR="003F13E5">
        <w:rPr>
          <w:sz w:val="24"/>
          <w:szCs w:val="24"/>
        </w:rPr>
        <w:t xml:space="preserve"> </w:t>
      </w:r>
      <w:r w:rsidRPr="009210BE">
        <w:rPr>
          <w:sz w:val="24"/>
          <w:szCs w:val="24"/>
        </w:rPr>
        <w:t>calculating pensions.</w:t>
      </w:r>
      <w:r w:rsidRPr="009210BE">
        <w:rPr>
          <w:b/>
          <w:sz w:val="24"/>
          <w:szCs w:val="24"/>
        </w:rPr>
        <w:t xml:space="preserve">  </w:t>
      </w:r>
    </w:p>
    <w:p w:rsidR="00D06B5D" w:rsidRDefault="00D06B5D" w:rsidP="003E4FC2">
      <w:pPr>
        <w:spacing w:after="0" w:line="240" w:lineRule="auto"/>
        <w:jc w:val="both"/>
        <w:rPr>
          <w:b/>
          <w:sz w:val="24"/>
          <w:szCs w:val="24"/>
        </w:rPr>
      </w:pPr>
    </w:p>
    <w:p w:rsidR="00D06B5D" w:rsidRPr="008B3900" w:rsidRDefault="00755F49" w:rsidP="003E4FC2">
      <w:pPr>
        <w:spacing w:after="0" w:line="240" w:lineRule="auto"/>
        <w:jc w:val="both"/>
        <w:rPr>
          <w:b/>
          <w:sz w:val="24"/>
          <w:szCs w:val="24"/>
          <w:u w:val="single"/>
        </w:rPr>
      </w:pPr>
      <w:r>
        <w:rPr>
          <w:b/>
          <w:sz w:val="24"/>
          <w:szCs w:val="24"/>
          <w:u w:val="single"/>
        </w:rPr>
        <w:t>(d)</w:t>
      </w:r>
      <w:r>
        <w:rPr>
          <w:b/>
          <w:sz w:val="24"/>
          <w:szCs w:val="24"/>
          <w:u w:val="single"/>
        </w:rPr>
        <w:tab/>
      </w:r>
      <w:r w:rsidR="00D06B5D" w:rsidRPr="008B3900">
        <w:rPr>
          <w:b/>
          <w:sz w:val="24"/>
          <w:szCs w:val="24"/>
          <w:u w:val="single"/>
        </w:rPr>
        <w:t>Changes in pension entitlements</w:t>
      </w:r>
    </w:p>
    <w:p w:rsidR="00D06B5D" w:rsidRPr="001A62CB" w:rsidRDefault="008E74CE" w:rsidP="003E4FC2">
      <w:pPr>
        <w:spacing w:after="0" w:line="240" w:lineRule="auto"/>
        <w:jc w:val="both"/>
        <w:rPr>
          <w:sz w:val="24"/>
          <w:szCs w:val="24"/>
        </w:rPr>
      </w:pPr>
      <w:r>
        <w:rPr>
          <w:sz w:val="24"/>
          <w:szCs w:val="24"/>
        </w:rPr>
        <w:t>Eight</w:t>
      </w:r>
      <w:r w:rsidR="00D06B5D">
        <w:rPr>
          <w:sz w:val="24"/>
          <w:szCs w:val="24"/>
        </w:rPr>
        <w:t xml:space="preserve">een Member States responding to this question </w:t>
      </w:r>
      <w:r w:rsidR="00D34A99" w:rsidRPr="001A62CB">
        <w:rPr>
          <w:sz w:val="24"/>
          <w:szCs w:val="24"/>
        </w:rPr>
        <w:t>(</w:t>
      </w:r>
      <w:r w:rsidR="00D34A99" w:rsidRPr="001A62CB">
        <w:rPr>
          <w:b/>
          <w:sz w:val="24"/>
          <w:szCs w:val="24"/>
        </w:rPr>
        <w:t xml:space="preserve">Austria, Belgium, </w:t>
      </w:r>
      <w:r w:rsidR="00D34A99">
        <w:rPr>
          <w:b/>
          <w:sz w:val="24"/>
          <w:szCs w:val="24"/>
        </w:rPr>
        <w:t xml:space="preserve">Cyprus, the Czech Republic, </w:t>
      </w:r>
      <w:r w:rsidR="00D34A99" w:rsidRPr="001A62CB">
        <w:rPr>
          <w:b/>
          <w:sz w:val="24"/>
          <w:szCs w:val="24"/>
        </w:rPr>
        <w:t xml:space="preserve">Denmark, Estonia, France, Germany, Greece, Ireland, Italy, Malta, </w:t>
      </w:r>
      <w:r w:rsidR="00D34A99">
        <w:rPr>
          <w:b/>
          <w:sz w:val="24"/>
          <w:szCs w:val="24"/>
        </w:rPr>
        <w:t xml:space="preserve">the Netherlands, Poland, Portugal, </w:t>
      </w:r>
      <w:r w:rsidR="00D34A99" w:rsidRPr="001A62CB">
        <w:rPr>
          <w:b/>
          <w:sz w:val="24"/>
          <w:szCs w:val="24"/>
        </w:rPr>
        <w:t>Romania, Slovenia, and the UK</w:t>
      </w:r>
      <w:r w:rsidR="00D34A99">
        <w:rPr>
          <w:sz w:val="24"/>
          <w:szCs w:val="24"/>
        </w:rPr>
        <w:t xml:space="preserve">) </w:t>
      </w:r>
      <w:r w:rsidR="00D06B5D">
        <w:rPr>
          <w:sz w:val="24"/>
          <w:szCs w:val="24"/>
        </w:rPr>
        <w:t>repor</w:t>
      </w:r>
      <w:r w:rsidR="00D06B5D" w:rsidRPr="001A62CB">
        <w:rPr>
          <w:sz w:val="24"/>
          <w:szCs w:val="24"/>
        </w:rPr>
        <w:t>ted changes to pension entitlements or conditions of qualification since 2009</w:t>
      </w:r>
      <w:r w:rsidR="00755F49">
        <w:rPr>
          <w:sz w:val="24"/>
          <w:szCs w:val="24"/>
        </w:rPr>
        <w:t>.</w:t>
      </w:r>
      <w:r w:rsidR="00D06B5D" w:rsidRPr="001A62CB">
        <w:rPr>
          <w:sz w:val="24"/>
          <w:szCs w:val="24"/>
        </w:rPr>
        <w:t xml:space="preserve">  </w:t>
      </w:r>
    </w:p>
    <w:p w:rsidR="00D06B5D" w:rsidRPr="001A62CB" w:rsidRDefault="00D06B5D" w:rsidP="003E4FC2">
      <w:pPr>
        <w:spacing w:after="0" w:line="240" w:lineRule="auto"/>
        <w:ind w:left="720"/>
        <w:jc w:val="both"/>
        <w:rPr>
          <w:sz w:val="24"/>
          <w:szCs w:val="24"/>
        </w:rPr>
      </w:pPr>
    </w:p>
    <w:p w:rsidR="00BC1CF4" w:rsidRDefault="00D06B5D" w:rsidP="003E4FC2">
      <w:pPr>
        <w:spacing w:after="0" w:line="240" w:lineRule="auto"/>
        <w:jc w:val="both"/>
        <w:rPr>
          <w:sz w:val="24"/>
          <w:szCs w:val="24"/>
        </w:rPr>
      </w:pPr>
      <w:r>
        <w:rPr>
          <w:sz w:val="24"/>
          <w:szCs w:val="24"/>
        </w:rPr>
        <w:t>The m</w:t>
      </w:r>
      <w:r w:rsidRPr="00D06B5D">
        <w:rPr>
          <w:sz w:val="24"/>
          <w:szCs w:val="24"/>
        </w:rPr>
        <w:t xml:space="preserve">ost </w:t>
      </w:r>
      <w:r>
        <w:rPr>
          <w:sz w:val="24"/>
          <w:szCs w:val="24"/>
        </w:rPr>
        <w:t xml:space="preserve">frequently reported change </w:t>
      </w:r>
      <w:r w:rsidR="00352618">
        <w:rPr>
          <w:sz w:val="24"/>
          <w:szCs w:val="24"/>
        </w:rPr>
        <w:t>in the pensions area relate</w:t>
      </w:r>
      <w:r w:rsidR="003F13E5">
        <w:rPr>
          <w:sz w:val="24"/>
          <w:szCs w:val="24"/>
        </w:rPr>
        <w:t>d</w:t>
      </w:r>
      <w:r w:rsidR="00352618">
        <w:rPr>
          <w:sz w:val="24"/>
          <w:szCs w:val="24"/>
        </w:rPr>
        <w:t xml:space="preserve"> to </w:t>
      </w:r>
      <w:r w:rsidRPr="00D06B5D">
        <w:rPr>
          <w:sz w:val="24"/>
          <w:szCs w:val="24"/>
        </w:rPr>
        <w:t>incremental increases in the statutory retirement age</w:t>
      </w:r>
      <w:r w:rsidR="00352618">
        <w:rPr>
          <w:sz w:val="24"/>
          <w:szCs w:val="24"/>
        </w:rPr>
        <w:t xml:space="preserve"> for civil and public servants</w:t>
      </w:r>
      <w:r w:rsidRPr="00D06B5D">
        <w:rPr>
          <w:sz w:val="24"/>
          <w:szCs w:val="24"/>
        </w:rPr>
        <w:t xml:space="preserve">. </w:t>
      </w:r>
      <w:r w:rsidR="003F13E5">
        <w:rPr>
          <w:sz w:val="24"/>
          <w:szCs w:val="24"/>
        </w:rPr>
        <w:t>T</w:t>
      </w:r>
      <w:r w:rsidR="00352618">
        <w:rPr>
          <w:sz w:val="24"/>
          <w:szCs w:val="24"/>
        </w:rPr>
        <w:t xml:space="preserve">he retirement age across </w:t>
      </w:r>
      <w:r w:rsidR="00352618">
        <w:rPr>
          <w:sz w:val="24"/>
          <w:szCs w:val="24"/>
        </w:rPr>
        <w:lastRenderedPageBreak/>
        <w:t xml:space="preserve">Member </w:t>
      </w:r>
      <w:r w:rsidR="00DB30F1">
        <w:rPr>
          <w:sz w:val="24"/>
          <w:szCs w:val="24"/>
        </w:rPr>
        <w:t>States now</w:t>
      </w:r>
      <w:r w:rsidR="003F13E5">
        <w:rPr>
          <w:sz w:val="24"/>
          <w:szCs w:val="24"/>
        </w:rPr>
        <w:t xml:space="preserve"> </w:t>
      </w:r>
      <w:r w:rsidR="00352618">
        <w:rPr>
          <w:sz w:val="24"/>
          <w:szCs w:val="24"/>
        </w:rPr>
        <w:t xml:space="preserve">ranges from age </w:t>
      </w:r>
      <w:r w:rsidR="003B7D63">
        <w:rPr>
          <w:sz w:val="24"/>
          <w:szCs w:val="24"/>
        </w:rPr>
        <w:t xml:space="preserve">60 </w:t>
      </w:r>
      <w:r>
        <w:rPr>
          <w:sz w:val="24"/>
          <w:szCs w:val="24"/>
        </w:rPr>
        <w:t>up to 70</w:t>
      </w:r>
      <w:r w:rsidR="00DB30F1">
        <w:rPr>
          <w:sz w:val="24"/>
          <w:szCs w:val="24"/>
        </w:rPr>
        <w:t xml:space="preserve">. </w:t>
      </w:r>
      <w:r w:rsidR="008574D3">
        <w:rPr>
          <w:sz w:val="24"/>
          <w:szCs w:val="24"/>
        </w:rPr>
        <w:t>A sample of the other key c</w:t>
      </w:r>
      <w:r w:rsidR="008574D3" w:rsidRPr="00D06B5D">
        <w:rPr>
          <w:sz w:val="24"/>
          <w:szCs w:val="24"/>
        </w:rPr>
        <w:t>hanges</w:t>
      </w:r>
      <w:r w:rsidR="008574D3">
        <w:rPr>
          <w:sz w:val="24"/>
          <w:szCs w:val="24"/>
        </w:rPr>
        <w:t xml:space="preserve"> in the pension area includes</w:t>
      </w:r>
      <w:r w:rsidR="00352618">
        <w:rPr>
          <w:sz w:val="24"/>
          <w:szCs w:val="24"/>
        </w:rPr>
        <w:t>:</w:t>
      </w:r>
    </w:p>
    <w:p w:rsidR="00D34A99" w:rsidRPr="00D06B5D" w:rsidRDefault="00D34A99" w:rsidP="003E4FC2">
      <w:pPr>
        <w:spacing w:after="0" w:line="240" w:lineRule="auto"/>
        <w:jc w:val="both"/>
        <w:rPr>
          <w:sz w:val="24"/>
          <w:szCs w:val="24"/>
        </w:rPr>
      </w:pPr>
    </w:p>
    <w:p w:rsidR="00D06B5D" w:rsidRDefault="00D06B5D" w:rsidP="002F4F99">
      <w:pPr>
        <w:pStyle w:val="ListParagraph"/>
        <w:numPr>
          <w:ilvl w:val="0"/>
          <w:numId w:val="3"/>
        </w:numPr>
        <w:spacing w:after="0" w:line="240" w:lineRule="auto"/>
        <w:ind w:left="360"/>
        <w:jc w:val="both"/>
        <w:rPr>
          <w:sz w:val="24"/>
          <w:szCs w:val="24"/>
        </w:rPr>
      </w:pPr>
      <w:r w:rsidRPr="00235C82">
        <w:rPr>
          <w:b/>
          <w:sz w:val="24"/>
          <w:szCs w:val="24"/>
        </w:rPr>
        <w:t>Ireland</w:t>
      </w:r>
      <w:r w:rsidR="00235C82">
        <w:rPr>
          <w:sz w:val="24"/>
          <w:szCs w:val="24"/>
        </w:rPr>
        <w:t xml:space="preserve"> introduced a </w:t>
      </w:r>
      <w:r w:rsidRPr="00F664FF">
        <w:rPr>
          <w:sz w:val="24"/>
          <w:szCs w:val="24"/>
        </w:rPr>
        <w:t xml:space="preserve">new Single Pension Scheme </w:t>
      </w:r>
      <w:r w:rsidR="00235C82">
        <w:rPr>
          <w:sz w:val="24"/>
          <w:szCs w:val="24"/>
        </w:rPr>
        <w:t xml:space="preserve">providing for </w:t>
      </w:r>
      <w:r w:rsidRPr="00F664FF">
        <w:rPr>
          <w:sz w:val="24"/>
          <w:szCs w:val="24"/>
        </w:rPr>
        <w:t>an incremental increase in the minimum pension age (from 66 to 68)</w:t>
      </w:r>
      <w:r w:rsidR="00235C82">
        <w:rPr>
          <w:sz w:val="24"/>
          <w:szCs w:val="24"/>
        </w:rPr>
        <w:t xml:space="preserve">, </w:t>
      </w:r>
      <w:r w:rsidRPr="00F664FF">
        <w:rPr>
          <w:sz w:val="24"/>
          <w:szCs w:val="24"/>
        </w:rPr>
        <w:t>a “career average pay” system</w:t>
      </w:r>
      <w:r w:rsidR="00235C82">
        <w:rPr>
          <w:sz w:val="24"/>
          <w:szCs w:val="24"/>
        </w:rPr>
        <w:t xml:space="preserve">, a </w:t>
      </w:r>
      <w:r w:rsidRPr="00F664FF">
        <w:rPr>
          <w:sz w:val="24"/>
          <w:szCs w:val="24"/>
        </w:rPr>
        <w:t xml:space="preserve">40-year limit on pensionable service </w:t>
      </w:r>
      <w:r w:rsidR="00235C82">
        <w:rPr>
          <w:sz w:val="24"/>
          <w:szCs w:val="24"/>
        </w:rPr>
        <w:t>an</w:t>
      </w:r>
      <w:r w:rsidRPr="00F664FF">
        <w:rPr>
          <w:sz w:val="24"/>
          <w:szCs w:val="24"/>
        </w:rPr>
        <w:t>d the extension of pension abatement (full or partial suspension</w:t>
      </w:r>
      <w:r w:rsidR="003F13E5">
        <w:rPr>
          <w:sz w:val="24"/>
          <w:szCs w:val="24"/>
        </w:rPr>
        <w:t xml:space="preserve"> of pension payment</w:t>
      </w:r>
      <w:r w:rsidRPr="00F664FF">
        <w:rPr>
          <w:sz w:val="24"/>
          <w:szCs w:val="24"/>
        </w:rPr>
        <w:t xml:space="preserve">) on re-entering public service employment.  </w:t>
      </w:r>
    </w:p>
    <w:p w:rsidR="00235C82" w:rsidRDefault="00235C82" w:rsidP="00235C82">
      <w:pPr>
        <w:pStyle w:val="ListParagraph"/>
        <w:spacing w:after="0" w:line="240" w:lineRule="auto"/>
        <w:ind w:left="360"/>
        <w:jc w:val="both"/>
        <w:rPr>
          <w:sz w:val="24"/>
          <w:szCs w:val="24"/>
        </w:rPr>
      </w:pPr>
    </w:p>
    <w:p w:rsidR="00235C82" w:rsidRDefault="00235C82" w:rsidP="002F4F99">
      <w:pPr>
        <w:pStyle w:val="ListParagraph"/>
        <w:numPr>
          <w:ilvl w:val="0"/>
          <w:numId w:val="3"/>
        </w:numPr>
        <w:spacing w:after="0" w:line="240" w:lineRule="auto"/>
        <w:ind w:left="360"/>
        <w:jc w:val="both"/>
        <w:rPr>
          <w:sz w:val="24"/>
          <w:szCs w:val="24"/>
        </w:rPr>
      </w:pPr>
      <w:r>
        <w:rPr>
          <w:sz w:val="24"/>
          <w:szCs w:val="24"/>
        </w:rPr>
        <w:t xml:space="preserve">Four </w:t>
      </w:r>
      <w:r w:rsidR="00D06B5D">
        <w:rPr>
          <w:sz w:val="24"/>
          <w:szCs w:val="24"/>
        </w:rPr>
        <w:t>Member States (</w:t>
      </w:r>
      <w:r w:rsidR="00D06B5D">
        <w:rPr>
          <w:b/>
          <w:sz w:val="24"/>
          <w:szCs w:val="24"/>
        </w:rPr>
        <w:t>Cyprus, France, Ireland, and the UK)</w:t>
      </w:r>
      <w:r w:rsidR="00D06B5D">
        <w:rPr>
          <w:sz w:val="24"/>
          <w:szCs w:val="24"/>
        </w:rPr>
        <w:t xml:space="preserve"> </w:t>
      </w:r>
      <w:r>
        <w:rPr>
          <w:sz w:val="24"/>
          <w:szCs w:val="24"/>
        </w:rPr>
        <w:t>have introduced changes in pension contribution rates</w:t>
      </w:r>
    </w:p>
    <w:p w:rsidR="00235C82" w:rsidRDefault="00235C82" w:rsidP="00235C82">
      <w:pPr>
        <w:pStyle w:val="ListParagraph"/>
        <w:rPr>
          <w:sz w:val="24"/>
          <w:szCs w:val="24"/>
        </w:rPr>
      </w:pPr>
    </w:p>
    <w:p w:rsidR="00D06B5D" w:rsidRDefault="00235C82" w:rsidP="002F4F99">
      <w:pPr>
        <w:pStyle w:val="ListParagraph"/>
        <w:numPr>
          <w:ilvl w:val="0"/>
          <w:numId w:val="3"/>
        </w:numPr>
        <w:spacing w:after="0" w:line="240" w:lineRule="auto"/>
        <w:ind w:left="360"/>
        <w:jc w:val="both"/>
        <w:rPr>
          <w:sz w:val="24"/>
          <w:szCs w:val="24"/>
        </w:rPr>
      </w:pPr>
      <w:r>
        <w:rPr>
          <w:sz w:val="24"/>
          <w:szCs w:val="24"/>
        </w:rPr>
        <w:t>T</w:t>
      </w:r>
      <w:r w:rsidR="00D06B5D">
        <w:rPr>
          <w:sz w:val="24"/>
          <w:szCs w:val="24"/>
        </w:rPr>
        <w:t xml:space="preserve">he </w:t>
      </w:r>
      <w:r w:rsidR="00D06B5D" w:rsidRPr="006F6242">
        <w:rPr>
          <w:b/>
          <w:sz w:val="24"/>
          <w:szCs w:val="24"/>
        </w:rPr>
        <w:t>UK</w:t>
      </w:r>
      <w:r w:rsidR="00D06B5D">
        <w:rPr>
          <w:sz w:val="24"/>
          <w:szCs w:val="24"/>
        </w:rPr>
        <w:t xml:space="preserve"> </w:t>
      </w:r>
      <w:r w:rsidR="00352618">
        <w:rPr>
          <w:sz w:val="24"/>
          <w:szCs w:val="24"/>
        </w:rPr>
        <w:t xml:space="preserve">is carrying out a review of pension provisions with a view to having a new </w:t>
      </w:r>
      <w:r w:rsidR="00DB30F1">
        <w:rPr>
          <w:sz w:val="24"/>
          <w:szCs w:val="24"/>
        </w:rPr>
        <w:t>pension scheme</w:t>
      </w:r>
      <w:r w:rsidR="00352618">
        <w:rPr>
          <w:sz w:val="24"/>
          <w:szCs w:val="24"/>
        </w:rPr>
        <w:t xml:space="preserve"> </w:t>
      </w:r>
      <w:r w:rsidR="003E4FC2">
        <w:rPr>
          <w:sz w:val="24"/>
          <w:szCs w:val="24"/>
        </w:rPr>
        <w:t>in</w:t>
      </w:r>
      <w:r w:rsidR="00D06B5D">
        <w:rPr>
          <w:sz w:val="24"/>
          <w:szCs w:val="24"/>
        </w:rPr>
        <w:t xml:space="preserve"> </w:t>
      </w:r>
      <w:r w:rsidR="00352618">
        <w:rPr>
          <w:sz w:val="24"/>
          <w:szCs w:val="24"/>
        </w:rPr>
        <w:t xml:space="preserve">place by </w:t>
      </w:r>
      <w:r w:rsidR="00D06B5D">
        <w:rPr>
          <w:sz w:val="24"/>
          <w:szCs w:val="24"/>
        </w:rPr>
        <w:t>2015.</w:t>
      </w:r>
    </w:p>
    <w:p w:rsidR="00235C82" w:rsidRDefault="00235C82" w:rsidP="00235C82">
      <w:pPr>
        <w:pStyle w:val="ListParagraph"/>
        <w:spacing w:after="0" w:line="240" w:lineRule="auto"/>
        <w:ind w:left="0"/>
        <w:jc w:val="both"/>
        <w:rPr>
          <w:sz w:val="24"/>
          <w:szCs w:val="24"/>
        </w:rPr>
      </w:pPr>
    </w:p>
    <w:p w:rsidR="00D06B5D" w:rsidRPr="00F664FF" w:rsidRDefault="00D06B5D" w:rsidP="002F4F99">
      <w:pPr>
        <w:pStyle w:val="ListParagraph"/>
        <w:numPr>
          <w:ilvl w:val="0"/>
          <w:numId w:val="3"/>
        </w:numPr>
        <w:spacing w:after="0" w:line="240" w:lineRule="auto"/>
        <w:ind w:left="360"/>
        <w:jc w:val="both"/>
        <w:rPr>
          <w:sz w:val="24"/>
          <w:szCs w:val="24"/>
        </w:rPr>
      </w:pPr>
      <w:r w:rsidRPr="003E4FC2">
        <w:rPr>
          <w:b/>
          <w:sz w:val="24"/>
          <w:szCs w:val="24"/>
        </w:rPr>
        <w:t>Austria</w:t>
      </w:r>
      <w:r w:rsidR="00235C82">
        <w:rPr>
          <w:b/>
          <w:sz w:val="24"/>
          <w:szCs w:val="24"/>
        </w:rPr>
        <w:t xml:space="preserve"> </w:t>
      </w:r>
      <w:r w:rsidR="00235C82" w:rsidRPr="00235C82">
        <w:rPr>
          <w:sz w:val="24"/>
          <w:szCs w:val="24"/>
        </w:rPr>
        <w:t xml:space="preserve">has </w:t>
      </w:r>
      <w:r w:rsidRPr="00F664FF">
        <w:rPr>
          <w:sz w:val="24"/>
          <w:szCs w:val="24"/>
        </w:rPr>
        <w:t xml:space="preserve">reported measures to discourage early retirement while </w:t>
      </w:r>
      <w:r w:rsidRPr="006F6242">
        <w:rPr>
          <w:b/>
          <w:sz w:val="24"/>
          <w:szCs w:val="24"/>
        </w:rPr>
        <w:t>Greece</w:t>
      </w:r>
      <w:r w:rsidR="003B7D63">
        <w:rPr>
          <w:sz w:val="24"/>
          <w:szCs w:val="24"/>
        </w:rPr>
        <w:t xml:space="preserve">, in contrast, </w:t>
      </w:r>
      <w:r w:rsidRPr="00F664FF">
        <w:rPr>
          <w:sz w:val="24"/>
          <w:szCs w:val="24"/>
        </w:rPr>
        <w:t xml:space="preserve">has reported measures to encourage early retirement.   </w:t>
      </w:r>
    </w:p>
    <w:p w:rsidR="00D06B5D" w:rsidRPr="009210BE" w:rsidRDefault="00D06B5D" w:rsidP="003E4FC2">
      <w:pPr>
        <w:spacing w:after="0" w:line="240" w:lineRule="auto"/>
        <w:jc w:val="both"/>
        <w:rPr>
          <w:sz w:val="24"/>
          <w:szCs w:val="24"/>
        </w:rPr>
      </w:pPr>
    </w:p>
    <w:p w:rsidR="008B3900" w:rsidRDefault="009B1D76" w:rsidP="003E4FC2">
      <w:pPr>
        <w:jc w:val="both"/>
        <w:rPr>
          <w:b/>
          <w:sz w:val="24"/>
          <w:szCs w:val="24"/>
          <w:u w:val="single"/>
        </w:rPr>
      </w:pPr>
      <w:r>
        <w:rPr>
          <w:b/>
          <w:sz w:val="24"/>
          <w:szCs w:val="24"/>
          <w:u w:val="single"/>
        </w:rPr>
        <w:t>(e)</w:t>
      </w:r>
      <w:r>
        <w:rPr>
          <w:b/>
          <w:sz w:val="24"/>
          <w:szCs w:val="24"/>
          <w:u w:val="single"/>
        </w:rPr>
        <w:tab/>
      </w:r>
      <w:r w:rsidR="003B7D63" w:rsidRPr="008B3900">
        <w:rPr>
          <w:b/>
          <w:sz w:val="24"/>
          <w:szCs w:val="24"/>
          <w:u w:val="single"/>
        </w:rPr>
        <w:t>Maternity</w:t>
      </w:r>
      <w:r w:rsidR="006172A6" w:rsidRPr="008B3900">
        <w:rPr>
          <w:b/>
          <w:sz w:val="24"/>
          <w:szCs w:val="24"/>
          <w:u w:val="single"/>
        </w:rPr>
        <w:t xml:space="preserve"> Leave</w:t>
      </w:r>
      <w:r w:rsidR="003B7D63" w:rsidRPr="008B3900">
        <w:rPr>
          <w:b/>
          <w:sz w:val="24"/>
          <w:szCs w:val="24"/>
          <w:u w:val="single"/>
        </w:rPr>
        <w:t xml:space="preserve">, Paternity </w:t>
      </w:r>
      <w:r w:rsidR="006172A6" w:rsidRPr="008B3900">
        <w:rPr>
          <w:b/>
          <w:sz w:val="24"/>
          <w:szCs w:val="24"/>
          <w:u w:val="single"/>
        </w:rPr>
        <w:t xml:space="preserve">Leave </w:t>
      </w:r>
      <w:r w:rsidR="003B7D63" w:rsidRPr="008B3900">
        <w:rPr>
          <w:b/>
          <w:sz w:val="24"/>
          <w:szCs w:val="24"/>
          <w:u w:val="single"/>
        </w:rPr>
        <w:t>and Family Friendly Policies</w:t>
      </w:r>
    </w:p>
    <w:p w:rsidR="006172A6" w:rsidRDefault="003B7D63" w:rsidP="003E4FC2">
      <w:pPr>
        <w:jc w:val="both"/>
        <w:rPr>
          <w:sz w:val="24"/>
          <w:szCs w:val="24"/>
        </w:rPr>
      </w:pPr>
      <w:r w:rsidRPr="003B7D63">
        <w:rPr>
          <w:sz w:val="24"/>
          <w:szCs w:val="24"/>
        </w:rPr>
        <w:t xml:space="preserve">The </w:t>
      </w:r>
      <w:r w:rsidR="00C51993">
        <w:rPr>
          <w:sz w:val="24"/>
          <w:szCs w:val="24"/>
        </w:rPr>
        <w:t>Survey</w:t>
      </w:r>
      <w:r w:rsidRPr="003B7D63">
        <w:rPr>
          <w:sz w:val="24"/>
          <w:szCs w:val="24"/>
        </w:rPr>
        <w:t xml:space="preserve"> identifies </w:t>
      </w:r>
      <w:r>
        <w:rPr>
          <w:sz w:val="24"/>
          <w:szCs w:val="24"/>
        </w:rPr>
        <w:t xml:space="preserve">a number of changes in the related areas of </w:t>
      </w:r>
      <w:r w:rsidR="006172A6" w:rsidRPr="006172A6">
        <w:rPr>
          <w:sz w:val="24"/>
          <w:szCs w:val="24"/>
        </w:rPr>
        <w:t>Maternity</w:t>
      </w:r>
      <w:r w:rsidR="006172A6">
        <w:rPr>
          <w:sz w:val="24"/>
          <w:szCs w:val="24"/>
        </w:rPr>
        <w:t xml:space="preserve"> Leave</w:t>
      </w:r>
      <w:r w:rsidR="006172A6" w:rsidRPr="006172A6">
        <w:rPr>
          <w:sz w:val="24"/>
          <w:szCs w:val="24"/>
        </w:rPr>
        <w:t xml:space="preserve">, Paternity </w:t>
      </w:r>
      <w:r w:rsidR="006172A6">
        <w:rPr>
          <w:sz w:val="24"/>
          <w:szCs w:val="24"/>
        </w:rPr>
        <w:t xml:space="preserve">Leave </w:t>
      </w:r>
      <w:r w:rsidR="006172A6" w:rsidRPr="006172A6">
        <w:rPr>
          <w:sz w:val="24"/>
          <w:szCs w:val="24"/>
        </w:rPr>
        <w:t>and Family Friendly Policies</w:t>
      </w:r>
      <w:r w:rsidR="006172A6">
        <w:rPr>
          <w:sz w:val="24"/>
          <w:szCs w:val="24"/>
        </w:rPr>
        <w:t xml:space="preserve">. The main driver of change in these areas is the effect of EU policy as </w:t>
      </w:r>
      <w:r w:rsidR="006172A6" w:rsidRPr="006172A6">
        <w:rPr>
          <w:sz w:val="24"/>
          <w:szCs w:val="24"/>
        </w:rPr>
        <w:t>expressed in EU Directive 2010/18/EU on Parental Leave</w:t>
      </w:r>
      <w:r w:rsidR="006172A6">
        <w:rPr>
          <w:sz w:val="24"/>
          <w:szCs w:val="24"/>
        </w:rPr>
        <w:t xml:space="preserve">. The </w:t>
      </w:r>
      <w:r w:rsidR="00C51993">
        <w:rPr>
          <w:sz w:val="24"/>
          <w:szCs w:val="24"/>
        </w:rPr>
        <w:t>Survey</w:t>
      </w:r>
      <w:r w:rsidR="006172A6">
        <w:rPr>
          <w:sz w:val="24"/>
          <w:szCs w:val="24"/>
        </w:rPr>
        <w:t xml:space="preserve"> shows increased rates of parental leave across a number of Member States and identifies the application of parental leave to same sex couples, to adoption and fostering. The </w:t>
      </w:r>
      <w:r w:rsidR="00C51993">
        <w:rPr>
          <w:sz w:val="24"/>
          <w:szCs w:val="24"/>
        </w:rPr>
        <w:t>Survey</w:t>
      </w:r>
      <w:r w:rsidR="006172A6">
        <w:rPr>
          <w:sz w:val="24"/>
          <w:szCs w:val="24"/>
        </w:rPr>
        <w:t xml:space="preserve"> also identifies enhanced </w:t>
      </w:r>
      <w:r w:rsidR="009B1D76">
        <w:rPr>
          <w:sz w:val="24"/>
          <w:szCs w:val="24"/>
        </w:rPr>
        <w:t>M</w:t>
      </w:r>
      <w:r w:rsidR="006172A6">
        <w:rPr>
          <w:sz w:val="24"/>
          <w:szCs w:val="24"/>
        </w:rPr>
        <w:t xml:space="preserve">aternity </w:t>
      </w:r>
      <w:r w:rsidR="009B1D76">
        <w:rPr>
          <w:sz w:val="24"/>
          <w:szCs w:val="24"/>
        </w:rPr>
        <w:t>L</w:t>
      </w:r>
      <w:r w:rsidR="003E4FC2">
        <w:rPr>
          <w:sz w:val="24"/>
          <w:szCs w:val="24"/>
        </w:rPr>
        <w:t>e</w:t>
      </w:r>
      <w:r w:rsidR="006172A6">
        <w:rPr>
          <w:sz w:val="24"/>
          <w:szCs w:val="24"/>
        </w:rPr>
        <w:t>ave in a number of Member States</w:t>
      </w:r>
      <w:r w:rsidR="003E4FC2">
        <w:rPr>
          <w:sz w:val="24"/>
          <w:szCs w:val="24"/>
        </w:rPr>
        <w:t>.</w:t>
      </w:r>
    </w:p>
    <w:p w:rsidR="00F169F9" w:rsidRDefault="009B1D76" w:rsidP="003E4FC2">
      <w:pPr>
        <w:jc w:val="both"/>
        <w:rPr>
          <w:b/>
          <w:sz w:val="24"/>
          <w:szCs w:val="24"/>
          <w:u w:val="single"/>
        </w:rPr>
      </w:pPr>
      <w:r>
        <w:rPr>
          <w:b/>
          <w:sz w:val="24"/>
          <w:szCs w:val="24"/>
          <w:u w:val="single"/>
        </w:rPr>
        <w:t>(f)</w:t>
      </w:r>
      <w:r>
        <w:rPr>
          <w:b/>
          <w:sz w:val="24"/>
          <w:szCs w:val="24"/>
          <w:u w:val="single"/>
        </w:rPr>
        <w:tab/>
      </w:r>
      <w:r w:rsidR="006172A6" w:rsidRPr="008B3900">
        <w:rPr>
          <w:b/>
          <w:sz w:val="24"/>
          <w:szCs w:val="24"/>
          <w:u w:val="single"/>
        </w:rPr>
        <w:t>Changes in the Structure of and Appointme</w:t>
      </w:r>
      <w:r w:rsidR="00F169F9">
        <w:rPr>
          <w:b/>
          <w:sz w:val="24"/>
          <w:szCs w:val="24"/>
          <w:u w:val="single"/>
        </w:rPr>
        <w:t>nt to the Senior Public Service</w:t>
      </w:r>
    </w:p>
    <w:p w:rsidR="006172A6" w:rsidRPr="00F169F9" w:rsidRDefault="0077203D" w:rsidP="003E4FC2">
      <w:pPr>
        <w:jc w:val="both"/>
        <w:rPr>
          <w:b/>
          <w:sz w:val="24"/>
          <w:szCs w:val="24"/>
          <w:u w:val="single"/>
        </w:rPr>
      </w:pPr>
      <w:r>
        <w:rPr>
          <w:sz w:val="24"/>
          <w:szCs w:val="24"/>
        </w:rPr>
        <w:t>In respect of changes in the s</w:t>
      </w:r>
      <w:r w:rsidR="006172A6">
        <w:rPr>
          <w:sz w:val="24"/>
          <w:szCs w:val="24"/>
        </w:rPr>
        <w:t xml:space="preserve">tructure of and </w:t>
      </w:r>
      <w:r>
        <w:rPr>
          <w:sz w:val="24"/>
          <w:szCs w:val="24"/>
        </w:rPr>
        <w:t>a</w:t>
      </w:r>
      <w:r w:rsidR="006172A6">
        <w:rPr>
          <w:sz w:val="24"/>
          <w:szCs w:val="24"/>
        </w:rPr>
        <w:t>ppointme</w:t>
      </w:r>
      <w:r>
        <w:rPr>
          <w:sz w:val="24"/>
          <w:szCs w:val="24"/>
        </w:rPr>
        <w:t xml:space="preserve">nt to the Senior Public Service, the </w:t>
      </w:r>
      <w:r w:rsidR="00C51993">
        <w:rPr>
          <w:sz w:val="24"/>
          <w:szCs w:val="24"/>
        </w:rPr>
        <w:t>Survey</w:t>
      </w:r>
      <w:r>
        <w:rPr>
          <w:sz w:val="24"/>
          <w:szCs w:val="24"/>
        </w:rPr>
        <w:t xml:space="preserve"> shows that only 4 Member States reported a change in the structure of the Senior Public Service with changes being reported by</w:t>
      </w:r>
      <w:r w:rsidRPr="006F6242">
        <w:rPr>
          <w:b/>
          <w:sz w:val="24"/>
          <w:szCs w:val="24"/>
        </w:rPr>
        <w:t xml:space="preserve"> Austria</w:t>
      </w:r>
      <w:r>
        <w:rPr>
          <w:sz w:val="24"/>
          <w:szCs w:val="24"/>
        </w:rPr>
        <w:t xml:space="preserve"> (greater focus on women as leaders</w:t>
      </w:r>
      <w:r w:rsidR="003E4FC2">
        <w:rPr>
          <w:sz w:val="24"/>
          <w:szCs w:val="24"/>
        </w:rPr>
        <w:t>),</w:t>
      </w:r>
      <w:r>
        <w:rPr>
          <w:sz w:val="24"/>
          <w:szCs w:val="24"/>
        </w:rPr>
        <w:t xml:space="preserve"> </w:t>
      </w:r>
      <w:r w:rsidRPr="006F6242">
        <w:rPr>
          <w:b/>
          <w:sz w:val="24"/>
          <w:szCs w:val="24"/>
        </w:rPr>
        <w:t>Hungary, Ireland</w:t>
      </w:r>
      <w:r>
        <w:rPr>
          <w:sz w:val="24"/>
          <w:szCs w:val="24"/>
        </w:rPr>
        <w:t xml:space="preserve"> (</w:t>
      </w:r>
      <w:r w:rsidR="003E4FC2">
        <w:rPr>
          <w:sz w:val="24"/>
          <w:szCs w:val="24"/>
        </w:rPr>
        <w:t>where a</w:t>
      </w:r>
      <w:r>
        <w:rPr>
          <w:sz w:val="24"/>
          <w:szCs w:val="24"/>
        </w:rPr>
        <w:t xml:space="preserve"> new Senior Public Service has been established) and the </w:t>
      </w:r>
      <w:r w:rsidRPr="003E4FC2">
        <w:rPr>
          <w:b/>
          <w:sz w:val="24"/>
          <w:szCs w:val="24"/>
        </w:rPr>
        <w:t>Netherlands</w:t>
      </w:r>
      <w:r>
        <w:rPr>
          <w:sz w:val="24"/>
          <w:szCs w:val="24"/>
        </w:rPr>
        <w:t xml:space="preserve"> (where the Foreign Affairs Department is being included in the Senior Public Service</w:t>
      </w:r>
      <w:r w:rsidR="003E4FC2">
        <w:rPr>
          <w:sz w:val="24"/>
          <w:szCs w:val="24"/>
        </w:rPr>
        <w:t>)</w:t>
      </w:r>
      <w:r>
        <w:rPr>
          <w:sz w:val="24"/>
          <w:szCs w:val="24"/>
        </w:rPr>
        <w:t xml:space="preserve">. </w:t>
      </w:r>
    </w:p>
    <w:p w:rsidR="00F169F9" w:rsidRDefault="003F13E5" w:rsidP="003E4FC2">
      <w:pPr>
        <w:jc w:val="both"/>
        <w:rPr>
          <w:sz w:val="24"/>
          <w:szCs w:val="24"/>
        </w:rPr>
      </w:pPr>
      <w:r>
        <w:rPr>
          <w:sz w:val="24"/>
          <w:szCs w:val="24"/>
        </w:rPr>
        <w:t xml:space="preserve">The </w:t>
      </w:r>
      <w:r w:rsidR="00F169F9">
        <w:rPr>
          <w:sz w:val="24"/>
          <w:szCs w:val="24"/>
        </w:rPr>
        <w:t>survey suggests</w:t>
      </w:r>
      <w:r>
        <w:rPr>
          <w:sz w:val="24"/>
          <w:szCs w:val="24"/>
        </w:rPr>
        <w:t xml:space="preserve"> a </w:t>
      </w:r>
      <w:r w:rsidR="008B3900">
        <w:rPr>
          <w:sz w:val="24"/>
          <w:szCs w:val="24"/>
        </w:rPr>
        <w:t>greater focus on the competencies required of senior public servants. It also shows a movement towards more focused recruitment with an emphasis on dedicated recruitment structures and selection procedures.</w:t>
      </w:r>
    </w:p>
    <w:p w:rsidR="00553648" w:rsidRPr="003B7D63" w:rsidRDefault="008B3900" w:rsidP="003E4FC2">
      <w:pPr>
        <w:jc w:val="both"/>
        <w:rPr>
          <w:sz w:val="24"/>
          <w:szCs w:val="24"/>
        </w:rPr>
      </w:pPr>
      <w:r>
        <w:rPr>
          <w:sz w:val="24"/>
          <w:szCs w:val="24"/>
        </w:rPr>
        <w:t xml:space="preserve">  </w:t>
      </w:r>
      <w:r w:rsidR="00553648" w:rsidRPr="003B7D63">
        <w:rPr>
          <w:sz w:val="24"/>
          <w:szCs w:val="24"/>
        </w:rPr>
        <w:br w:type="page"/>
      </w:r>
    </w:p>
    <w:p w:rsidR="009270D8" w:rsidRDefault="009270D8" w:rsidP="009270D8">
      <w:pPr>
        <w:spacing w:after="0" w:line="240" w:lineRule="auto"/>
        <w:jc w:val="both"/>
        <w:rPr>
          <w:b/>
          <w:sz w:val="24"/>
          <w:szCs w:val="24"/>
        </w:rPr>
      </w:pPr>
    </w:p>
    <w:p w:rsidR="009270D8" w:rsidRDefault="009270D8" w:rsidP="009270D8">
      <w:pPr>
        <w:spacing w:after="0" w:line="240" w:lineRule="auto"/>
        <w:jc w:val="center"/>
        <w:rPr>
          <w:b/>
          <w:sz w:val="24"/>
          <w:szCs w:val="24"/>
        </w:rPr>
      </w:pPr>
      <w:r w:rsidRPr="00492CDF">
        <w:rPr>
          <w:b/>
          <w:sz w:val="24"/>
          <w:szCs w:val="24"/>
        </w:rPr>
        <w:t xml:space="preserve">Irish Presidency </w:t>
      </w:r>
      <w:r>
        <w:rPr>
          <w:b/>
          <w:sz w:val="24"/>
          <w:szCs w:val="24"/>
        </w:rPr>
        <w:t>Survey</w:t>
      </w:r>
      <w:r w:rsidRPr="00492CDF">
        <w:rPr>
          <w:b/>
          <w:sz w:val="24"/>
          <w:szCs w:val="24"/>
        </w:rPr>
        <w:t xml:space="preserve"> on the Structure of the Civil and Public Services of the EU Member States and Accession States</w:t>
      </w:r>
    </w:p>
    <w:p w:rsidR="009270D8" w:rsidRDefault="009270D8" w:rsidP="009270D8">
      <w:pPr>
        <w:spacing w:after="0" w:line="240" w:lineRule="auto"/>
        <w:jc w:val="center"/>
        <w:rPr>
          <w:b/>
          <w:sz w:val="24"/>
          <w:szCs w:val="24"/>
        </w:rPr>
      </w:pPr>
    </w:p>
    <w:p w:rsidR="00553648" w:rsidRPr="001A62CB" w:rsidRDefault="00553648" w:rsidP="003E4FC2">
      <w:pPr>
        <w:spacing w:after="0" w:line="240" w:lineRule="auto"/>
        <w:jc w:val="both"/>
        <w:rPr>
          <w:b/>
          <w:sz w:val="24"/>
          <w:szCs w:val="24"/>
        </w:rPr>
      </w:pPr>
      <w:r w:rsidRPr="001A62CB">
        <w:rPr>
          <w:b/>
          <w:sz w:val="24"/>
          <w:szCs w:val="24"/>
        </w:rPr>
        <w:t>Background</w:t>
      </w:r>
    </w:p>
    <w:p w:rsidR="00553648" w:rsidRPr="001A62CB" w:rsidRDefault="00553648" w:rsidP="003E4FC2">
      <w:pPr>
        <w:spacing w:after="0" w:line="240" w:lineRule="auto"/>
        <w:jc w:val="both"/>
        <w:rPr>
          <w:sz w:val="24"/>
          <w:szCs w:val="24"/>
        </w:rPr>
      </w:pPr>
    </w:p>
    <w:p w:rsidR="00553648" w:rsidRPr="001A62CB" w:rsidRDefault="00553648" w:rsidP="003E4FC2">
      <w:pPr>
        <w:spacing w:after="0" w:line="240" w:lineRule="auto"/>
        <w:jc w:val="both"/>
        <w:rPr>
          <w:sz w:val="24"/>
          <w:szCs w:val="24"/>
        </w:rPr>
      </w:pPr>
      <w:r w:rsidRPr="001A62CB">
        <w:rPr>
          <w:sz w:val="24"/>
          <w:szCs w:val="24"/>
        </w:rPr>
        <w:t xml:space="preserve">In 2004, the Irish Presidency carried out a survey on the structure of the Civil and Public Services of the Member States of the European Union, new Member States and three Applicant Countries.  In 2006, the Austrian Presidency carried out a further </w:t>
      </w:r>
      <w:r w:rsidR="00C51993">
        <w:rPr>
          <w:sz w:val="24"/>
          <w:szCs w:val="24"/>
        </w:rPr>
        <w:t>Survey</w:t>
      </w:r>
      <w:r w:rsidRPr="001A62CB">
        <w:rPr>
          <w:sz w:val="24"/>
          <w:szCs w:val="24"/>
        </w:rPr>
        <w:t xml:space="preserve"> to update the information provided in the 2004 </w:t>
      </w:r>
      <w:r w:rsidR="00C51993">
        <w:rPr>
          <w:sz w:val="24"/>
          <w:szCs w:val="24"/>
        </w:rPr>
        <w:t>Survey</w:t>
      </w:r>
      <w:r w:rsidRPr="001A62CB">
        <w:rPr>
          <w:sz w:val="24"/>
          <w:szCs w:val="24"/>
        </w:rPr>
        <w:t>.  The Spanish Presidency</w:t>
      </w:r>
      <w:r w:rsidR="009B1D76">
        <w:rPr>
          <w:sz w:val="24"/>
          <w:szCs w:val="24"/>
        </w:rPr>
        <w:t xml:space="preserve"> commissioned a more </w:t>
      </w:r>
      <w:r w:rsidR="003E4FC2">
        <w:rPr>
          <w:sz w:val="24"/>
          <w:szCs w:val="24"/>
        </w:rPr>
        <w:t>detailed and</w:t>
      </w:r>
      <w:r w:rsidR="009B1D76">
        <w:rPr>
          <w:sz w:val="24"/>
          <w:szCs w:val="24"/>
        </w:rPr>
        <w:t xml:space="preserve"> </w:t>
      </w:r>
      <w:r w:rsidRPr="001A62CB">
        <w:rPr>
          <w:sz w:val="24"/>
          <w:szCs w:val="24"/>
        </w:rPr>
        <w:t>comprehensive study on Public Employment in the Member States of the EU during its tenure.</w:t>
      </w:r>
      <w:r w:rsidR="009B1D76">
        <w:rPr>
          <w:sz w:val="24"/>
          <w:szCs w:val="24"/>
        </w:rPr>
        <w:t xml:space="preserve"> In the</w:t>
      </w:r>
      <w:r w:rsidR="00806B09">
        <w:rPr>
          <w:sz w:val="24"/>
          <w:szCs w:val="24"/>
        </w:rPr>
        <w:t xml:space="preserve"> Irish </w:t>
      </w:r>
      <w:r w:rsidR="009B1D76">
        <w:rPr>
          <w:sz w:val="24"/>
          <w:szCs w:val="24"/>
        </w:rPr>
        <w:t>Presidency Programme</w:t>
      </w:r>
      <w:r w:rsidR="00806B09">
        <w:rPr>
          <w:sz w:val="24"/>
          <w:szCs w:val="24"/>
        </w:rPr>
        <w:t xml:space="preserve"> it was signalled that Ireland intended to update the Austrian </w:t>
      </w:r>
      <w:r w:rsidR="00C51993">
        <w:rPr>
          <w:sz w:val="24"/>
          <w:szCs w:val="24"/>
        </w:rPr>
        <w:t>Survey</w:t>
      </w:r>
      <w:r w:rsidR="00806B09">
        <w:rPr>
          <w:sz w:val="24"/>
          <w:szCs w:val="24"/>
        </w:rPr>
        <w:t xml:space="preserve"> from 2006 and collect </w:t>
      </w:r>
      <w:r w:rsidR="003E4FC2">
        <w:rPr>
          <w:sz w:val="24"/>
          <w:szCs w:val="24"/>
        </w:rPr>
        <w:t>summary data</w:t>
      </w:r>
      <w:r w:rsidR="00806B09">
        <w:rPr>
          <w:sz w:val="24"/>
          <w:szCs w:val="24"/>
        </w:rPr>
        <w:t xml:space="preserve"> </w:t>
      </w:r>
      <w:r w:rsidR="003E4FC2">
        <w:rPr>
          <w:sz w:val="24"/>
          <w:szCs w:val="24"/>
        </w:rPr>
        <w:t>for use</w:t>
      </w:r>
      <w:r w:rsidR="00806B09">
        <w:rPr>
          <w:sz w:val="24"/>
          <w:szCs w:val="24"/>
        </w:rPr>
        <w:t xml:space="preserve"> by EUPAN members. </w:t>
      </w:r>
      <w:r w:rsidR="009B1D76">
        <w:rPr>
          <w:sz w:val="24"/>
          <w:szCs w:val="24"/>
        </w:rPr>
        <w:t xml:space="preserve"> </w:t>
      </w:r>
    </w:p>
    <w:p w:rsidR="0028638F" w:rsidRDefault="0028638F" w:rsidP="003E4FC2">
      <w:pPr>
        <w:spacing w:after="0" w:line="240" w:lineRule="auto"/>
        <w:jc w:val="both"/>
        <w:rPr>
          <w:sz w:val="24"/>
          <w:szCs w:val="24"/>
        </w:rPr>
      </w:pPr>
    </w:p>
    <w:p w:rsidR="00553648" w:rsidRPr="001A62CB" w:rsidRDefault="00553648" w:rsidP="003E4FC2">
      <w:pPr>
        <w:spacing w:after="0" w:line="240" w:lineRule="auto"/>
        <w:jc w:val="both"/>
        <w:rPr>
          <w:sz w:val="24"/>
          <w:szCs w:val="24"/>
        </w:rPr>
      </w:pPr>
      <w:r w:rsidRPr="001A62CB">
        <w:rPr>
          <w:sz w:val="24"/>
          <w:szCs w:val="24"/>
        </w:rPr>
        <w:t xml:space="preserve">It </w:t>
      </w:r>
      <w:r w:rsidR="003E4FC2" w:rsidRPr="001A62CB">
        <w:rPr>
          <w:sz w:val="24"/>
          <w:szCs w:val="24"/>
        </w:rPr>
        <w:t xml:space="preserve">was </w:t>
      </w:r>
      <w:r w:rsidR="003E4FC2">
        <w:rPr>
          <w:sz w:val="24"/>
          <w:szCs w:val="24"/>
        </w:rPr>
        <w:t>also</w:t>
      </w:r>
      <w:r w:rsidR="004C7521">
        <w:rPr>
          <w:sz w:val="24"/>
          <w:szCs w:val="24"/>
        </w:rPr>
        <w:t xml:space="preserve"> </w:t>
      </w:r>
      <w:r w:rsidR="003E4FC2">
        <w:rPr>
          <w:sz w:val="24"/>
          <w:szCs w:val="24"/>
        </w:rPr>
        <w:t xml:space="preserve">considered timely to </w:t>
      </w:r>
      <w:r w:rsidR="004C7521">
        <w:rPr>
          <w:sz w:val="24"/>
          <w:szCs w:val="24"/>
        </w:rPr>
        <w:t xml:space="preserve">gather information on </w:t>
      </w:r>
      <w:r w:rsidRPr="001A62CB">
        <w:rPr>
          <w:sz w:val="24"/>
          <w:szCs w:val="24"/>
        </w:rPr>
        <w:t xml:space="preserve">the </w:t>
      </w:r>
      <w:r w:rsidR="004C7521">
        <w:rPr>
          <w:sz w:val="24"/>
          <w:szCs w:val="24"/>
        </w:rPr>
        <w:t xml:space="preserve">reforms </w:t>
      </w:r>
      <w:r w:rsidRPr="001A62CB">
        <w:rPr>
          <w:sz w:val="24"/>
          <w:szCs w:val="24"/>
        </w:rPr>
        <w:t xml:space="preserve">that have taken place since </w:t>
      </w:r>
      <w:r w:rsidR="003E4FC2" w:rsidRPr="001A62CB">
        <w:rPr>
          <w:sz w:val="24"/>
          <w:szCs w:val="24"/>
        </w:rPr>
        <w:t xml:space="preserve">2009 </w:t>
      </w:r>
      <w:r w:rsidR="003E4FC2">
        <w:rPr>
          <w:sz w:val="24"/>
          <w:szCs w:val="24"/>
        </w:rPr>
        <w:t>as</w:t>
      </w:r>
      <w:r w:rsidR="002911FF">
        <w:rPr>
          <w:sz w:val="24"/>
          <w:szCs w:val="24"/>
        </w:rPr>
        <w:t xml:space="preserve"> a result of the C</w:t>
      </w:r>
      <w:r w:rsidRPr="001A62CB">
        <w:rPr>
          <w:sz w:val="24"/>
          <w:szCs w:val="24"/>
        </w:rPr>
        <w:t xml:space="preserve">risis.  With this in mind, EUPAN Members were requested to provide up-to-date structural </w:t>
      </w:r>
      <w:r w:rsidR="007E0415" w:rsidRPr="001A62CB">
        <w:rPr>
          <w:sz w:val="24"/>
          <w:szCs w:val="24"/>
        </w:rPr>
        <w:t xml:space="preserve">data </w:t>
      </w:r>
      <w:r w:rsidR="007E0415">
        <w:rPr>
          <w:sz w:val="24"/>
          <w:szCs w:val="24"/>
        </w:rPr>
        <w:t>under</w:t>
      </w:r>
      <w:r w:rsidR="004C7521">
        <w:rPr>
          <w:sz w:val="24"/>
          <w:szCs w:val="24"/>
        </w:rPr>
        <w:t xml:space="preserve"> 5 headings </w:t>
      </w:r>
      <w:r w:rsidRPr="001A62CB">
        <w:rPr>
          <w:sz w:val="24"/>
          <w:szCs w:val="24"/>
        </w:rPr>
        <w:t>and key reform information under</w:t>
      </w:r>
      <w:r w:rsidR="007E0415">
        <w:rPr>
          <w:sz w:val="24"/>
          <w:szCs w:val="24"/>
        </w:rPr>
        <w:t xml:space="preserve"> item six below:</w:t>
      </w:r>
    </w:p>
    <w:p w:rsidR="00553648" w:rsidRPr="001A62CB" w:rsidRDefault="00553648" w:rsidP="003E4FC2">
      <w:pPr>
        <w:spacing w:after="0" w:line="240" w:lineRule="auto"/>
        <w:jc w:val="both"/>
        <w:rPr>
          <w:sz w:val="24"/>
          <w:szCs w:val="24"/>
        </w:rPr>
      </w:pPr>
    </w:p>
    <w:p w:rsidR="00553648" w:rsidRPr="001A62CB" w:rsidRDefault="00553648" w:rsidP="002F4F99">
      <w:pPr>
        <w:pStyle w:val="ListParagraph"/>
        <w:numPr>
          <w:ilvl w:val="0"/>
          <w:numId w:val="1"/>
        </w:numPr>
        <w:spacing w:after="0" w:line="240" w:lineRule="auto"/>
        <w:jc w:val="both"/>
        <w:rPr>
          <w:sz w:val="24"/>
          <w:szCs w:val="24"/>
        </w:rPr>
      </w:pPr>
      <w:r w:rsidRPr="001A62CB">
        <w:rPr>
          <w:sz w:val="24"/>
          <w:szCs w:val="24"/>
        </w:rPr>
        <w:t>Structure of the Public Service</w:t>
      </w:r>
    </w:p>
    <w:p w:rsidR="00553648" w:rsidRPr="001A62CB" w:rsidRDefault="00553648" w:rsidP="002F4F99">
      <w:pPr>
        <w:pStyle w:val="ListParagraph"/>
        <w:numPr>
          <w:ilvl w:val="0"/>
          <w:numId w:val="1"/>
        </w:numPr>
        <w:spacing w:after="0" w:line="240" w:lineRule="auto"/>
        <w:jc w:val="both"/>
        <w:rPr>
          <w:sz w:val="24"/>
          <w:szCs w:val="24"/>
        </w:rPr>
      </w:pPr>
      <w:r w:rsidRPr="001A62CB">
        <w:rPr>
          <w:sz w:val="24"/>
          <w:szCs w:val="24"/>
        </w:rPr>
        <w:t>Number of Public Servants</w:t>
      </w:r>
    </w:p>
    <w:p w:rsidR="00553648" w:rsidRPr="001A62CB" w:rsidRDefault="00553648" w:rsidP="002F4F99">
      <w:pPr>
        <w:pStyle w:val="ListParagraph"/>
        <w:numPr>
          <w:ilvl w:val="0"/>
          <w:numId w:val="1"/>
        </w:numPr>
        <w:spacing w:after="0" w:line="240" w:lineRule="auto"/>
        <w:jc w:val="both"/>
        <w:rPr>
          <w:sz w:val="24"/>
          <w:szCs w:val="24"/>
        </w:rPr>
      </w:pPr>
      <w:r w:rsidRPr="001A62CB">
        <w:rPr>
          <w:sz w:val="24"/>
          <w:szCs w:val="24"/>
        </w:rPr>
        <w:t>Number of Ministries</w:t>
      </w:r>
    </w:p>
    <w:p w:rsidR="00553648" w:rsidRPr="001A62CB" w:rsidRDefault="00553648" w:rsidP="002F4F99">
      <w:pPr>
        <w:pStyle w:val="ListParagraph"/>
        <w:numPr>
          <w:ilvl w:val="0"/>
          <w:numId w:val="1"/>
        </w:numPr>
        <w:spacing w:after="0" w:line="240" w:lineRule="auto"/>
        <w:jc w:val="both"/>
        <w:rPr>
          <w:sz w:val="24"/>
          <w:szCs w:val="24"/>
        </w:rPr>
      </w:pPr>
      <w:r w:rsidRPr="001A62CB">
        <w:rPr>
          <w:sz w:val="24"/>
          <w:szCs w:val="24"/>
        </w:rPr>
        <w:t>Structure within each Ministry</w:t>
      </w:r>
    </w:p>
    <w:p w:rsidR="00553648" w:rsidRPr="001A62CB" w:rsidRDefault="00553648" w:rsidP="002F4F99">
      <w:pPr>
        <w:pStyle w:val="ListParagraph"/>
        <w:numPr>
          <w:ilvl w:val="0"/>
          <w:numId w:val="1"/>
        </w:numPr>
        <w:spacing w:after="0" w:line="240" w:lineRule="auto"/>
        <w:jc w:val="both"/>
        <w:rPr>
          <w:sz w:val="24"/>
          <w:szCs w:val="24"/>
        </w:rPr>
      </w:pPr>
      <w:r w:rsidRPr="001A62CB">
        <w:rPr>
          <w:sz w:val="24"/>
          <w:szCs w:val="24"/>
        </w:rPr>
        <w:t>Department/Ministry with Responsibility for HR Policy</w:t>
      </w:r>
    </w:p>
    <w:p w:rsidR="00553648" w:rsidRPr="001A62CB" w:rsidRDefault="00553648" w:rsidP="002F4F99">
      <w:pPr>
        <w:pStyle w:val="ListParagraph"/>
        <w:numPr>
          <w:ilvl w:val="0"/>
          <w:numId w:val="1"/>
        </w:numPr>
        <w:spacing w:after="0" w:line="240" w:lineRule="auto"/>
        <w:jc w:val="both"/>
        <w:rPr>
          <w:sz w:val="24"/>
          <w:szCs w:val="24"/>
        </w:rPr>
      </w:pPr>
      <w:r w:rsidRPr="001A62CB">
        <w:rPr>
          <w:sz w:val="24"/>
          <w:szCs w:val="24"/>
        </w:rPr>
        <w:t>HR Reforms: - since 2009, changes that have taken place in:</w:t>
      </w:r>
    </w:p>
    <w:p w:rsidR="00553648" w:rsidRPr="001A62CB" w:rsidRDefault="00553648" w:rsidP="002F4F99">
      <w:pPr>
        <w:pStyle w:val="ListParagraph"/>
        <w:numPr>
          <w:ilvl w:val="0"/>
          <w:numId w:val="2"/>
        </w:numPr>
        <w:spacing w:after="0" w:line="240" w:lineRule="auto"/>
        <w:jc w:val="both"/>
        <w:rPr>
          <w:sz w:val="24"/>
          <w:szCs w:val="24"/>
        </w:rPr>
      </w:pPr>
      <w:r w:rsidRPr="001A62CB">
        <w:rPr>
          <w:sz w:val="24"/>
          <w:szCs w:val="24"/>
        </w:rPr>
        <w:t>General Terms and Conditions of Service</w:t>
      </w:r>
    </w:p>
    <w:p w:rsidR="00553648" w:rsidRPr="001A62CB" w:rsidRDefault="00553648" w:rsidP="002F4F99">
      <w:pPr>
        <w:pStyle w:val="ListParagraph"/>
        <w:numPr>
          <w:ilvl w:val="0"/>
          <w:numId w:val="2"/>
        </w:numPr>
        <w:spacing w:after="0" w:line="240" w:lineRule="auto"/>
        <w:jc w:val="both"/>
        <w:rPr>
          <w:sz w:val="24"/>
          <w:szCs w:val="24"/>
        </w:rPr>
      </w:pPr>
      <w:r w:rsidRPr="001A62CB">
        <w:rPr>
          <w:sz w:val="24"/>
          <w:szCs w:val="24"/>
        </w:rPr>
        <w:t>Rates of Pay / Rates of Pension</w:t>
      </w:r>
    </w:p>
    <w:p w:rsidR="00553648" w:rsidRPr="001A62CB" w:rsidRDefault="00553648" w:rsidP="002F4F99">
      <w:pPr>
        <w:pStyle w:val="ListParagraph"/>
        <w:numPr>
          <w:ilvl w:val="0"/>
          <w:numId w:val="2"/>
        </w:numPr>
        <w:spacing w:after="0" w:line="240" w:lineRule="auto"/>
        <w:jc w:val="both"/>
        <w:rPr>
          <w:sz w:val="24"/>
          <w:szCs w:val="24"/>
        </w:rPr>
      </w:pPr>
      <w:r w:rsidRPr="001A62CB">
        <w:rPr>
          <w:sz w:val="24"/>
          <w:szCs w:val="24"/>
        </w:rPr>
        <w:t>Pension Entitlements or Conditions of Qualification</w:t>
      </w:r>
    </w:p>
    <w:p w:rsidR="00553648" w:rsidRPr="001A62CB" w:rsidRDefault="00553648" w:rsidP="002F4F99">
      <w:pPr>
        <w:pStyle w:val="ListParagraph"/>
        <w:numPr>
          <w:ilvl w:val="0"/>
          <w:numId w:val="2"/>
        </w:numPr>
        <w:spacing w:after="0" w:line="240" w:lineRule="auto"/>
        <w:jc w:val="both"/>
        <w:rPr>
          <w:sz w:val="24"/>
          <w:szCs w:val="24"/>
        </w:rPr>
      </w:pPr>
      <w:r w:rsidRPr="001A62CB">
        <w:rPr>
          <w:sz w:val="24"/>
          <w:szCs w:val="24"/>
        </w:rPr>
        <w:t>Holiday / Annual Leave Entitlements</w:t>
      </w:r>
    </w:p>
    <w:p w:rsidR="00553648" w:rsidRPr="001A62CB" w:rsidRDefault="00553648" w:rsidP="002F4F99">
      <w:pPr>
        <w:pStyle w:val="ListParagraph"/>
        <w:numPr>
          <w:ilvl w:val="0"/>
          <w:numId w:val="2"/>
        </w:numPr>
        <w:spacing w:after="0" w:line="240" w:lineRule="auto"/>
        <w:jc w:val="both"/>
        <w:rPr>
          <w:sz w:val="24"/>
          <w:szCs w:val="24"/>
        </w:rPr>
      </w:pPr>
      <w:r w:rsidRPr="001A62CB">
        <w:rPr>
          <w:sz w:val="24"/>
          <w:szCs w:val="24"/>
        </w:rPr>
        <w:t>Sick Leave Entitlements</w:t>
      </w:r>
    </w:p>
    <w:p w:rsidR="00553648" w:rsidRPr="001A62CB" w:rsidRDefault="00553648" w:rsidP="002F4F99">
      <w:pPr>
        <w:pStyle w:val="ListParagraph"/>
        <w:numPr>
          <w:ilvl w:val="0"/>
          <w:numId w:val="2"/>
        </w:numPr>
        <w:spacing w:after="0" w:line="240" w:lineRule="auto"/>
        <w:jc w:val="both"/>
        <w:rPr>
          <w:sz w:val="24"/>
          <w:szCs w:val="24"/>
        </w:rPr>
      </w:pPr>
      <w:r w:rsidRPr="001A62CB">
        <w:rPr>
          <w:sz w:val="24"/>
          <w:szCs w:val="24"/>
        </w:rPr>
        <w:t>Maternity / Paternity Leave</w:t>
      </w:r>
    </w:p>
    <w:p w:rsidR="00553648" w:rsidRPr="001A62CB" w:rsidRDefault="00553648" w:rsidP="002F4F99">
      <w:pPr>
        <w:pStyle w:val="ListParagraph"/>
        <w:numPr>
          <w:ilvl w:val="0"/>
          <w:numId w:val="2"/>
        </w:numPr>
        <w:spacing w:after="0" w:line="240" w:lineRule="auto"/>
        <w:jc w:val="both"/>
        <w:rPr>
          <w:sz w:val="24"/>
          <w:szCs w:val="24"/>
        </w:rPr>
      </w:pPr>
      <w:r w:rsidRPr="001A62CB">
        <w:rPr>
          <w:sz w:val="24"/>
          <w:szCs w:val="24"/>
        </w:rPr>
        <w:t>Family Friendly Policies</w:t>
      </w:r>
    </w:p>
    <w:p w:rsidR="00553648" w:rsidRPr="001A62CB" w:rsidRDefault="00553648" w:rsidP="002F4F99">
      <w:pPr>
        <w:pStyle w:val="ListParagraph"/>
        <w:numPr>
          <w:ilvl w:val="0"/>
          <w:numId w:val="2"/>
        </w:numPr>
        <w:spacing w:after="0" w:line="240" w:lineRule="auto"/>
        <w:jc w:val="both"/>
        <w:rPr>
          <w:sz w:val="24"/>
          <w:szCs w:val="24"/>
        </w:rPr>
      </w:pPr>
      <w:r w:rsidRPr="001A62CB">
        <w:rPr>
          <w:sz w:val="24"/>
          <w:szCs w:val="24"/>
        </w:rPr>
        <w:t>Methods of Recruitment and Selection to the Civil Service</w:t>
      </w:r>
    </w:p>
    <w:p w:rsidR="00553648" w:rsidRPr="001A62CB" w:rsidRDefault="00553648" w:rsidP="002F4F99">
      <w:pPr>
        <w:pStyle w:val="ListParagraph"/>
        <w:numPr>
          <w:ilvl w:val="0"/>
          <w:numId w:val="2"/>
        </w:numPr>
        <w:spacing w:after="0" w:line="240" w:lineRule="auto"/>
        <w:jc w:val="both"/>
        <w:rPr>
          <w:sz w:val="24"/>
          <w:szCs w:val="24"/>
        </w:rPr>
      </w:pPr>
      <w:r w:rsidRPr="001A62CB">
        <w:rPr>
          <w:sz w:val="24"/>
          <w:szCs w:val="24"/>
        </w:rPr>
        <w:t>Structure of the Senior Public Service</w:t>
      </w:r>
    </w:p>
    <w:p w:rsidR="00553648" w:rsidRPr="001A62CB" w:rsidRDefault="00553648" w:rsidP="002F4F99">
      <w:pPr>
        <w:pStyle w:val="ListParagraph"/>
        <w:numPr>
          <w:ilvl w:val="0"/>
          <w:numId w:val="2"/>
        </w:numPr>
        <w:spacing w:after="0" w:line="240" w:lineRule="auto"/>
        <w:jc w:val="both"/>
        <w:rPr>
          <w:sz w:val="24"/>
          <w:szCs w:val="24"/>
        </w:rPr>
      </w:pPr>
      <w:r w:rsidRPr="001A62CB">
        <w:rPr>
          <w:sz w:val="24"/>
          <w:szCs w:val="24"/>
        </w:rPr>
        <w:t>Recruitment and Selection for the Senior Public Service</w:t>
      </w:r>
    </w:p>
    <w:p w:rsidR="00553648" w:rsidRPr="001A62CB" w:rsidRDefault="00553648" w:rsidP="003E4FC2">
      <w:pPr>
        <w:spacing w:after="0" w:line="240" w:lineRule="auto"/>
        <w:jc w:val="both"/>
        <w:rPr>
          <w:sz w:val="24"/>
          <w:szCs w:val="24"/>
        </w:rPr>
      </w:pPr>
    </w:p>
    <w:p w:rsidR="00553648" w:rsidRPr="001A62CB" w:rsidRDefault="00553648" w:rsidP="003E4FC2">
      <w:pPr>
        <w:spacing w:after="0" w:line="240" w:lineRule="auto"/>
        <w:jc w:val="both"/>
        <w:rPr>
          <w:sz w:val="24"/>
          <w:szCs w:val="24"/>
        </w:rPr>
      </w:pPr>
      <w:r w:rsidRPr="001A62CB">
        <w:rPr>
          <w:sz w:val="24"/>
          <w:szCs w:val="24"/>
        </w:rPr>
        <w:t xml:space="preserve">Responses were received from </w:t>
      </w:r>
      <w:r w:rsidRPr="006F6242">
        <w:rPr>
          <w:b/>
          <w:sz w:val="24"/>
          <w:szCs w:val="24"/>
        </w:rPr>
        <w:t xml:space="preserve">27 </w:t>
      </w:r>
      <w:r w:rsidRPr="001A62CB">
        <w:rPr>
          <w:sz w:val="24"/>
          <w:szCs w:val="24"/>
        </w:rPr>
        <w:t xml:space="preserve">EU Member States, the </w:t>
      </w:r>
      <w:r w:rsidRPr="006F6242">
        <w:rPr>
          <w:b/>
          <w:sz w:val="24"/>
          <w:szCs w:val="24"/>
        </w:rPr>
        <w:t>EU Commission</w:t>
      </w:r>
      <w:r w:rsidRPr="001A62CB">
        <w:rPr>
          <w:sz w:val="24"/>
          <w:szCs w:val="24"/>
        </w:rPr>
        <w:t xml:space="preserve">, </w:t>
      </w:r>
      <w:r w:rsidRPr="006F6242">
        <w:rPr>
          <w:b/>
          <w:sz w:val="24"/>
          <w:szCs w:val="24"/>
        </w:rPr>
        <w:t>Croatia</w:t>
      </w:r>
      <w:r w:rsidRPr="001A62CB">
        <w:rPr>
          <w:sz w:val="24"/>
          <w:szCs w:val="24"/>
        </w:rPr>
        <w:t xml:space="preserve">, </w:t>
      </w:r>
      <w:r w:rsidRPr="006F6242">
        <w:rPr>
          <w:b/>
          <w:sz w:val="24"/>
          <w:szCs w:val="24"/>
        </w:rPr>
        <w:t>Montenegro, Norway</w:t>
      </w:r>
      <w:r>
        <w:rPr>
          <w:sz w:val="24"/>
          <w:szCs w:val="24"/>
        </w:rPr>
        <w:t xml:space="preserve"> a</w:t>
      </w:r>
      <w:r w:rsidRPr="001A62CB">
        <w:rPr>
          <w:sz w:val="24"/>
          <w:szCs w:val="24"/>
        </w:rPr>
        <w:t xml:space="preserve">nd </w:t>
      </w:r>
      <w:r w:rsidRPr="006F6242">
        <w:rPr>
          <w:b/>
          <w:sz w:val="24"/>
          <w:szCs w:val="24"/>
        </w:rPr>
        <w:t>Switzerland</w:t>
      </w:r>
      <w:r w:rsidRPr="001A62CB">
        <w:rPr>
          <w:sz w:val="24"/>
          <w:szCs w:val="24"/>
        </w:rPr>
        <w:t xml:space="preserve">.  This document identifies the trends which have emerged from the responses of the EU Member States under each heading.  </w:t>
      </w:r>
      <w:r w:rsidR="00BA6B47">
        <w:rPr>
          <w:sz w:val="24"/>
          <w:szCs w:val="24"/>
        </w:rPr>
        <w:t xml:space="preserve"> </w:t>
      </w:r>
      <w:r w:rsidRPr="001A62CB">
        <w:rPr>
          <w:sz w:val="24"/>
          <w:szCs w:val="24"/>
        </w:rPr>
        <w:t xml:space="preserve">Every effort has been made to ensure that the information is accurate but, in some cases, differences in administrative structures have made it difficult to </w:t>
      </w:r>
      <w:r w:rsidR="00F169F9" w:rsidRPr="001A62CB">
        <w:rPr>
          <w:sz w:val="24"/>
          <w:szCs w:val="24"/>
        </w:rPr>
        <w:t xml:space="preserve">reconcile </w:t>
      </w:r>
      <w:r w:rsidR="00F169F9">
        <w:rPr>
          <w:sz w:val="24"/>
          <w:szCs w:val="24"/>
        </w:rPr>
        <w:t>the</w:t>
      </w:r>
      <w:r w:rsidR="00BA6B47">
        <w:rPr>
          <w:sz w:val="24"/>
          <w:szCs w:val="24"/>
        </w:rPr>
        <w:t xml:space="preserve"> chosen </w:t>
      </w:r>
      <w:r w:rsidRPr="001A62CB">
        <w:rPr>
          <w:sz w:val="24"/>
          <w:szCs w:val="24"/>
        </w:rPr>
        <w:t>year</w:t>
      </w:r>
      <w:r w:rsidR="00F169F9">
        <w:rPr>
          <w:sz w:val="24"/>
          <w:szCs w:val="24"/>
        </w:rPr>
        <w:t xml:space="preserve"> </w:t>
      </w:r>
      <w:r w:rsidRPr="001A62CB">
        <w:rPr>
          <w:sz w:val="24"/>
          <w:szCs w:val="24"/>
        </w:rPr>
        <w:t>on</w:t>
      </w:r>
      <w:r w:rsidR="00F169F9">
        <w:rPr>
          <w:sz w:val="24"/>
          <w:szCs w:val="24"/>
        </w:rPr>
        <w:t xml:space="preserve"> </w:t>
      </w:r>
      <w:r w:rsidRPr="001A62CB">
        <w:rPr>
          <w:sz w:val="24"/>
          <w:szCs w:val="24"/>
        </w:rPr>
        <w:t>yea</w:t>
      </w:r>
      <w:r w:rsidR="00F169F9">
        <w:rPr>
          <w:sz w:val="24"/>
          <w:szCs w:val="24"/>
        </w:rPr>
        <w:t xml:space="preserve">r </w:t>
      </w:r>
      <w:r w:rsidRPr="001A62CB">
        <w:rPr>
          <w:sz w:val="24"/>
          <w:szCs w:val="24"/>
        </w:rPr>
        <w:t>comparisons.</w:t>
      </w:r>
    </w:p>
    <w:p w:rsidR="003005DC" w:rsidRDefault="003005DC" w:rsidP="003E4FC2">
      <w:pPr>
        <w:jc w:val="both"/>
        <w:rPr>
          <w:sz w:val="24"/>
          <w:szCs w:val="24"/>
        </w:rPr>
      </w:pPr>
    </w:p>
    <w:p w:rsidR="003B7D63" w:rsidRDefault="003B7D63" w:rsidP="003E4FC2">
      <w:pPr>
        <w:spacing w:after="0" w:line="240" w:lineRule="auto"/>
        <w:jc w:val="both"/>
        <w:rPr>
          <w:sz w:val="24"/>
          <w:szCs w:val="24"/>
        </w:rPr>
      </w:pPr>
      <w:r>
        <w:rPr>
          <w:sz w:val="24"/>
          <w:szCs w:val="24"/>
        </w:rPr>
        <w:t xml:space="preserve">In tracking the changes over the period </w:t>
      </w:r>
      <w:r w:rsidR="006C2855">
        <w:rPr>
          <w:sz w:val="24"/>
          <w:szCs w:val="24"/>
        </w:rPr>
        <w:t>under review</w:t>
      </w:r>
      <w:r w:rsidR="004C7521">
        <w:rPr>
          <w:sz w:val="24"/>
          <w:szCs w:val="24"/>
        </w:rPr>
        <w:t xml:space="preserve"> </w:t>
      </w:r>
      <w:r>
        <w:rPr>
          <w:sz w:val="24"/>
          <w:szCs w:val="24"/>
        </w:rPr>
        <w:t xml:space="preserve">we have, where possible, used the figures supplied in the 2006 </w:t>
      </w:r>
      <w:r w:rsidR="00C51993">
        <w:rPr>
          <w:sz w:val="24"/>
          <w:szCs w:val="24"/>
        </w:rPr>
        <w:t>Survey</w:t>
      </w:r>
      <w:r>
        <w:rPr>
          <w:sz w:val="24"/>
          <w:szCs w:val="24"/>
        </w:rPr>
        <w:t xml:space="preserve"> as a </w:t>
      </w:r>
      <w:r w:rsidR="006C2855">
        <w:rPr>
          <w:sz w:val="24"/>
          <w:szCs w:val="24"/>
        </w:rPr>
        <w:t>baseline from</w:t>
      </w:r>
      <w:r w:rsidR="004C7521">
        <w:rPr>
          <w:sz w:val="24"/>
          <w:szCs w:val="24"/>
        </w:rPr>
        <w:t xml:space="preserve"> which the percentage change is derived. </w:t>
      </w:r>
    </w:p>
    <w:p w:rsidR="00C21904" w:rsidRDefault="00C21904" w:rsidP="003E4FC2">
      <w:pPr>
        <w:spacing w:after="0" w:line="240" w:lineRule="auto"/>
        <w:jc w:val="both"/>
        <w:rPr>
          <w:sz w:val="24"/>
          <w:szCs w:val="24"/>
        </w:rPr>
      </w:pPr>
    </w:p>
    <w:p w:rsidR="00C21904" w:rsidRPr="00C21904" w:rsidRDefault="00C21904" w:rsidP="003E4FC2">
      <w:pPr>
        <w:spacing w:after="0" w:line="240" w:lineRule="auto"/>
        <w:jc w:val="both"/>
        <w:rPr>
          <w:sz w:val="24"/>
          <w:szCs w:val="24"/>
        </w:rPr>
      </w:pPr>
      <w:r>
        <w:rPr>
          <w:sz w:val="24"/>
          <w:szCs w:val="24"/>
        </w:rPr>
        <w:lastRenderedPageBreak/>
        <w:t>T</w:t>
      </w:r>
      <w:r w:rsidRPr="001A62CB">
        <w:rPr>
          <w:sz w:val="24"/>
          <w:szCs w:val="24"/>
        </w:rPr>
        <w:t xml:space="preserve">he </w:t>
      </w:r>
      <w:r w:rsidRPr="006F6242">
        <w:rPr>
          <w:b/>
          <w:sz w:val="24"/>
          <w:szCs w:val="24"/>
        </w:rPr>
        <w:t>EU Commission</w:t>
      </w:r>
      <w:r w:rsidRPr="001A62CB">
        <w:rPr>
          <w:sz w:val="24"/>
          <w:szCs w:val="24"/>
        </w:rPr>
        <w:t xml:space="preserve">, </w:t>
      </w:r>
      <w:r w:rsidRPr="006F6242">
        <w:rPr>
          <w:b/>
          <w:sz w:val="24"/>
          <w:szCs w:val="24"/>
        </w:rPr>
        <w:t>Croatia</w:t>
      </w:r>
      <w:r w:rsidRPr="001A62CB">
        <w:rPr>
          <w:sz w:val="24"/>
          <w:szCs w:val="24"/>
        </w:rPr>
        <w:t xml:space="preserve">, </w:t>
      </w:r>
      <w:r w:rsidRPr="006F6242">
        <w:rPr>
          <w:b/>
          <w:sz w:val="24"/>
          <w:szCs w:val="24"/>
        </w:rPr>
        <w:t>Montenegro, Norway</w:t>
      </w:r>
      <w:r>
        <w:rPr>
          <w:sz w:val="24"/>
          <w:szCs w:val="24"/>
        </w:rPr>
        <w:t xml:space="preserve"> a</w:t>
      </w:r>
      <w:r w:rsidRPr="001A62CB">
        <w:rPr>
          <w:sz w:val="24"/>
          <w:szCs w:val="24"/>
        </w:rPr>
        <w:t xml:space="preserve">nd </w:t>
      </w:r>
      <w:r w:rsidRPr="006F6242">
        <w:rPr>
          <w:b/>
          <w:sz w:val="24"/>
          <w:szCs w:val="24"/>
        </w:rPr>
        <w:t>Switzerland</w:t>
      </w:r>
      <w:r>
        <w:rPr>
          <w:b/>
          <w:sz w:val="24"/>
          <w:szCs w:val="24"/>
        </w:rPr>
        <w:t xml:space="preserve"> </w:t>
      </w:r>
      <w:r>
        <w:rPr>
          <w:sz w:val="24"/>
          <w:szCs w:val="24"/>
        </w:rPr>
        <w:t xml:space="preserve">were not included in the earlier surveys so there is no comparative data against which to measure the current response. A summary of the key elements from their returns is included at the end of the document. </w:t>
      </w:r>
    </w:p>
    <w:p w:rsidR="00553648" w:rsidRDefault="00553648" w:rsidP="003E4FC2">
      <w:pPr>
        <w:jc w:val="both"/>
        <w:rPr>
          <w:b/>
          <w:sz w:val="24"/>
          <w:szCs w:val="24"/>
        </w:rPr>
      </w:pPr>
      <w:r>
        <w:rPr>
          <w:b/>
          <w:sz w:val="24"/>
          <w:szCs w:val="24"/>
        </w:rPr>
        <w:br w:type="page"/>
      </w:r>
    </w:p>
    <w:p w:rsidR="00F169F9" w:rsidRDefault="007E4156" w:rsidP="00206EEA">
      <w:pPr>
        <w:jc w:val="center"/>
        <w:rPr>
          <w:b/>
          <w:sz w:val="24"/>
          <w:szCs w:val="24"/>
        </w:rPr>
      </w:pPr>
      <w:r>
        <w:rPr>
          <w:b/>
          <w:sz w:val="24"/>
          <w:szCs w:val="24"/>
        </w:rPr>
        <w:lastRenderedPageBreak/>
        <w:t>RESULTS</w:t>
      </w:r>
    </w:p>
    <w:p w:rsidR="00206EEA" w:rsidRDefault="00206EEA" w:rsidP="00206EEA">
      <w:pPr>
        <w:jc w:val="center"/>
        <w:rPr>
          <w:b/>
          <w:sz w:val="24"/>
          <w:szCs w:val="24"/>
        </w:rPr>
      </w:pPr>
    </w:p>
    <w:p w:rsidR="00884A7C" w:rsidRPr="006F6242" w:rsidRDefault="00F169F9" w:rsidP="00F169F9">
      <w:pPr>
        <w:jc w:val="both"/>
        <w:rPr>
          <w:b/>
          <w:sz w:val="24"/>
          <w:szCs w:val="24"/>
        </w:rPr>
      </w:pPr>
      <w:r>
        <w:rPr>
          <w:b/>
          <w:sz w:val="24"/>
          <w:szCs w:val="24"/>
        </w:rPr>
        <w:t xml:space="preserve">1. </w:t>
      </w:r>
      <w:r w:rsidR="00884A7C">
        <w:rPr>
          <w:b/>
          <w:sz w:val="24"/>
          <w:szCs w:val="24"/>
        </w:rPr>
        <w:t>STRUCTURE OF THE PUBLIC SERVIC</w:t>
      </w:r>
      <w:r>
        <w:rPr>
          <w:b/>
          <w:sz w:val="24"/>
          <w:szCs w:val="24"/>
        </w:rPr>
        <w:t>E</w:t>
      </w:r>
    </w:p>
    <w:p w:rsidR="00E72387" w:rsidRDefault="00E248F3" w:rsidP="00876FEA">
      <w:pPr>
        <w:ind w:left="1440" w:hanging="1440"/>
        <w:jc w:val="both"/>
        <w:rPr>
          <w:b/>
          <w:sz w:val="24"/>
          <w:szCs w:val="24"/>
        </w:rPr>
      </w:pPr>
      <w:r w:rsidRPr="001A62CB">
        <w:rPr>
          <w:b/>
          <w:sz w:val="24"/>
          <w:szCs w:val="24"/>
        </w:rPr>
        <w:t>Structure of the Public Service</w:t>
      </w:r>
      <w:r w:rsidR="00D51984">
        <w:rPr>
          <w:b/>
          <w:sz w:val="24"/>
          <w:szCs w:val="24"/>
        </w:rPr>
        <w:t xml:space="preserve"> </w:t>
      </w:r>
      <w:r w:rsidR="009A76C1">
        <w:rPr>
          <w:b/>
          <w:sz w:val="24"/>
          <w:szCs w:val="24"/>
        </w:rPr>
        <w:t>across</w:t>
      </w:r>
      <w:r w:rsidR="00D51984">
        <w:rPr>
          <w:b/>
          <w:sz w:val="24"/>
          <w:szCs w:val="24"/>
        </w:rPr>
        <w:t xml:space="preserve"> EUPAN Member States</w:t>
      </w:r>
      <w:r w:rsidR="00F169F9">
        <w:rPr>
          <w:b/>
          <w:sz w:val="24"/>
          <w:szCs w:val="24"/>
        </w:rPr>
        <w:t xml:space="preserve"> – 2012 vs</w:t>
      </w:r>
      <w:r w:rsidR="009A76C1">
        <w:rPr>
          <w:b/>
          <w:sz w:val="24"/>
          <w:szCs w:val="24"/>
        </w:rPr>
        <w:t>. 2006</w:t>
      </w:r>
    </w:p>
    <w:p w:rsidR="00F169F9" w:rsidRDefault="00876FEA">
      <w:pPr>
        <w:spacing w:after="0" w:line="240" w:lineRule="auto"/>
        <w:rPr>
          <w:sz w:val="24"/>
          <w:szCs w:val="24"/>
        </w:rPr>
      </w:pPr>
      <w:r>
        <w:rPr>
          <w:sz w:val="24"/>
          <w:szCs w:val="24"/>
        </w:rPr>
        <w:t xml:space="preserve">In comparing the returns from 2006 with those from the current Survey there </w:t>
      </w:r>
      <w:r w:rsidR="00C82915">
        <w:rPr>
          <w:sz w:val="24"/>
          <w:szCs w:val="24"/>
        </w:rPr>
        <w:t>are</w:t>
      </w:r>
      <w:r w:rsidRPr="00876FEA">
        <w:rPr>
          <w:sz w:val="24"/>
          <w:szCs w:val="24"/>
        </w:rPr>
        <w:t xml:space="preserve"> no significant change</w:t>
      </w:r>
      <w:r w:rsidR="00C82915">
        <w:rPr>
          <w:sz w:val="24"/>
          <w:szCs w:val="24"/>
        </w:rPr>
        <w:t>s</w:t>
      </w:r>
      <w:r w:rsidRPr="00876FEA">
        <w:rPr>
          <w:sz w:val="24"/>
          <w:szCs w:val="24"/>
        </w:rPr>
        <w:t xml:space="preserve"> to </w:t>
      </w:r>
      <w:r>
        <w:rPr>
          <w:sz w:val="24"/>
          <w:szCs w:val="24"/>
        </w:rPr>
        <w:t>report</w:t>
      </w:r>
      <w:r w:rsidR="00C82915">
        <w:rPr>
          <w:sz w:val="24"/>
          <w:szCs w:val="24"/>
        </w:rPr>
        <w:t xml:space="preserve"> in this </w:t>
      </w:r>
      <w:r w:rsidR="00F169F9">
        <w:rPr>
          <w:sz w:val="24"/>
          <w:szCs w:val="24"/>
        </w:rPr>
        <w:t>category.</w:t>
      </w:r>
    </w:p>
    <w:p w:rsidR="00F169F9" w:rsidRDefault="00F169F9">
      <w:pPr>
        <w:spacing w:after="0" w:line="240" w:lineRule="auto"/>
        <w:rPr>
          <w:sz w:val="24"/>
          <w:szCs w:val="24"/>
        </w:rPr>
      </w:pPr>
    </w:p>
    <w:p w:rsidR="00F169F9" w:rsidRDefault="00F169F9">
      <w:pPr>
        <w:spacing w:after="0" w:line="240" w:lineRule="auto"/>
        <w:rPr>
          <w:b/>
          <w:sz w:val="24"/>
          <w:szCs w:val="24"/>
        </w:rPr>
      </w:pPr>
    </w:p>
    <w:p w:rsidR="00884A7C" w:rsidRPr="006F6242" w:rsidRDefault="00F169F9" w:rsidP="00F169F9">
      <w:pPr>
        <w:pStyle w:val="ListParagraph"/>
        <w:spacing w:after="0" w:line="240" w:lineRule="auto"/>
        <w:ind w:left="0"/>
        <w:jc w:val="both"/>
        <w:rPr>
          <w:b/>
          <w:sz w:val="24"/>
          <w:szCs w:val="24"/>
        </w:rPr>
      </w:pPr>
      <w:r>
        <w:rPr>
          <w:b/>
          <w:sz w:val="24"/>
          <w:szCs w:val="24"/>
        </w:rPr>
        <w:t xml:space="preserve">2. </w:t>
      </w:r>
      <w:r w:rsidR="00884A7C">
        <w:rPr>
          <w:b/>
          <w:sz w:val="24"/>
          <w:szCs w:val="24"/>
        </w:rPr>
        <w:t>NUMBER OF PUBLIC SERVANTS</w:t>
      </w:r>
    </w:p>
    <w:p w:rsidR="00A84846" w:rsidRDefault="00A84846" w:rsidP="003E4FC2">
      <w:pPr>
        <w:spacing w:after="0" w:line="240" w:lineRule="auto"/>
        <w:jc w:val="both"/>
        <w:rPr>
          <w:b/>
          <w:sz w:val="24"/>
          <w:szCs w:val="24"/>
        </w:rPr>
      </w:pPr>
    </w:p>
    <w:p w:rsidR="00A57685" w:rsidRDefault="00D51984" w:rsidP="00A84846">
      <w:pPr>
        <w:spacing w:after="0" w:line="240" w:lineRule="auto"/>
        <w:ind w:firstLine="720"/>
        <w:jc w:val="both"/>
        <w:rPr>
          <w:b/>
          <w:sz w:val="20"/>
          <w:szCs w:val="20"/>
        </w:rPr>
      </w:pPr>
      <w:r w:rsidRPr="00DB30F1">
        <w:rPr>
          <w:b/>
          <w:sz w:val="20"/>
          <w:szCs w:val="20"/>
        </w:rPr>
        <w:t>Figure 1.</w:t>
      </w:r>
      <w:r w:rsidR="00307E3D" w:rsidRPr="00DB30F1">
        <w:rPr>
          <w:b/>
          <w:sz w:val="20"/>
          <w:szCs w:val="20"/>
        </w:rPr>
        <w:t>1</w:t>
      </w:r>
      <w:r w:rsidRPr="00DB30F1">
        <w:rPr>
          <w:b/>
          <w:sz w:val="20"/>
          <w:szCs w:val="20"/>
        </w:rPr>
        <w:t>:</w:t>
      </w:r>
      <w:r w:rsidRPr="00DB30F1">
        <w:rPr>
          <w:b/>
          <w:sz w:val="20"/>
          <w:szCs w:val="20"/>
        </w:rPr>
        <w:tab/>
      </w:r>
      <w:r w:rsidR="00A57685" w:rsidRPr="00DB30F1">
        <w:rPr>
          <w:b/>
          <w:sz w:val="20"/>
          <w:szCs w:val="20"/>
        </w:rPr>
        <w:t>Number of Public Servants</w:t>
      </w:r>
      <w:r w:rsidR="00AB3631" w:rsidRPr="00DB30F1">
        <w:rPr>
          <w:b/>
          <w:sz w:val="20"/>
          <w:szCs w:val="20"/>
        </w:rPr>
        <w:t xml:space="preserve"> across</w:t>
      </w:r>
      <w:r w:rsidRPr="00DB30F1">
        <w:rPr>
          <w:b/>
          <w:sz w:val="20"/>
          <w:szCs w:val="20"/>
        </w:rPr>
        <w:t xml:space="preserve"> EUPAN Member States </w:t>
      </w:r>
      <w:r w:rsidR="00F169F9">
        <w:rPr>
          <w:b/>
          <w:sz w:val="20"/>
          <w:szCs w:val="20"/>
        </w:rPr>
        <w:t>– 2012</w:t>
      </w:r>
      <w:r w:rsidR="009A76C1" w:rsidRPr="00DB30F1">
        <w:rPr>
          <w:b/>
          <w:sz w:val="20"/>
          <w:szCs w:val="20"/>
        </w:rPr>
        <w:t xml:space="preserve"> vs. 2006</w:t>
      </w:r>
    </w:p>
    <w:p w:rsidR="001C69F3" w:rsidRDefault="001C69F3" w:rsidP="003E4FC2">
      <w:pPr>
        <w:spacing w:after="0" w:line="240" w:lineRule="auto"/>
        <w:jc w:val="both"/>
        <w:rPr>
          <w:b/>
          <w:sz w:val="20"/>
          <w:szCs w:val="20"/>
        </w:rPr>
      </w:pPr>
    </w:p>
    <w:p w:rsidR="00206EEA" w:rsidRPr="00DB30F1" w:rsidRDefault="00E2727A" w:rsidP="00206EEA">
      <w:pPr>
        <w:spacing w:after="0" w:line="240" w:lineRule="auto"/>
        <w:jc w:val="center"/>
        <w:rPr>
          <w:b/>
          <w:sz w:val="20"/>
          <w:szCs w:val="20"/>
        </w:rPr>
      </w:pPr>
      <w:r>
        <w:rPr>
          <w:noProof/>
          <w:sz w:val="24"/>
          <w:szCs w:val="24"/>
          <w:lang w:val="en-US"/>
        </w:rPr>
        <w:drawing>
          <wp:inline distT="0" distB="0" distL="0" distR="0">
            <wp:extent cx="5267325" cy="2552700"/>
            <wp:effectExtent l="0" t="0" r="0" b="0"/>
            <wp:docPr id="5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06EEA" w:rsidRDefault="00206EEA" w:rsidP="003E4FC2">
      <w:pPr>
        <w:spacing w:after="0" w:line="240" w:lineRule="auto"/>
        <w:ind w:left="360"/>
        <w:jc w:val="both"/>
        <w:rPr>
          <w:sz w:val="24"/>
          <w:szCs w:val="24"/>
        </w:rPr>
      </w:pPr>
    </w:p>
    <w:p w:rsidR="00014583" w:rsidRDefault="00D51984" w:rsidP="003E4FC2">
      <w:pPr>
        <w:spacing w:after="0" w:line="240" w:lineRule="auto"/>
        <w:ind w:left="360"/>
        <w:jc w:val="both"/>
        <w:rPr>
          <w:sz w:val="24"/>
          <w:szCs w:val="24"/>
        </w:rPr>
      </w:pPr>
      <w:r>
        <w:rPr>
          <w:sz w:val="24"/>
          <w:szCs w:val="24"/>
        </w:rPr>
        <w:t>The</w:t>
      </w:r>
      <w:r w:rsidR="0003543A">
        <w:rPr>
          <w:sz w:val="24"/>
          <w:szCs w:val="24"/>
        </w:rPr>
        <w:t xml:space="preserve"> evidence suggests </w:t>
      </w:r>
      <w:r w:rsidR="006C2855">
        <w:rPr>
          <w:sz w:val="24"/>
          <w:szCs w:val="24"/>
        </w:rPr>
        <w:t xml:space="preserve">that </w:t>
      </w:r>
      <w:r w:rsidR="001C69F3">
        <w:rPr>
          <w:sz w:val="24"/>
          <w:szCs w:val="24"/>
        </w:rPr>
        <w:t xml:space="preserve">the </w:t>
      </w:r>
      <w:r w:rsidR="006C2855">
        <w:rPr>
          <w:sz w:val="24"/>
          <w:szCs w:val="24"/>
        </w:rPr>
        <w:t>impact</w:t>
      </w:r>
      <w:r>
        <w:rPr>
          <w:sz w:val="24"/>
          <w:szCs w:val="24"/>
        </w:rPr>
        <w:t xml:space="preserve"> of </w:t>
      </w:r>
      <w:r w:rsidR="00014583">
        <w:rPr>
          <w:sz w:val="24"/>
          <w:szCs w:val="24"/>
        </w:rPr>
        <w:t xml:space="preserve">the </w:t>
      </w:r>
      <w:r w:rsidR="00A84846">
        <w:rPr>
          <w:sz w:val="24"/>
          <w:szCs w:val="24"/>
        </w:rPr>
        <w:t>C</w:t>
      </w:r>
      <w:r w:rsidR="009270D8">
        <w:rPr>
          <w:sz w:val="24"/>
          <w:szCs w:val="24"/>
        </w:rPr>
        <w:t>risis on</w:t>
      </w:r>
      <w:r w:rsidR="00014583">
        <w:rPr>
          <w:sz w:val="24"/>
          <w:szCs w:val="24"/>
        </w:rPr>
        <w:t xml:space="preserve"> </w:t>
      </w:r>
      <w:r w:rsidR="009270D8">
        <w:rPr>
          <w:sz w:val="24"/>
          <w:szCs w:val="24"/>
        </w:rPr>
        <w:t xml:space="preserve">the </w:t>
      </w:r>
      <w:r w:rsidR="00014583">
        <w:rPr>
          <w:sz w:val="24"/>
          <w:szCs w:val="24"/>
        </w:rPr>
        <w:t xml:space="preserve">public service and public expenditure </w:t>
      </w:r>
      <w:r w:rsidR="0003543A">
        <w:rPr>
          <w:sz w:val="24"/>
          <w:szCs w:val="24"/>
        </w:rPr>
        <w:t xml:space="preserve">has resulted in </w:t>
      </w:r>
      <w:r w:rsidR="00014583">
        <w:rPr>
          <w:sz w:val="24"/>
          <w:szCs w:val="24"/>
        </w:rPr>
        <w:t>reduction</w:t>
      </w:r>
      <w:r w:rsidR="0003543A">
        <w:rPr>
          <w:sz w:val="24"/>
          <w:szCs w:val="24"/>
        </w:rPr>
        <w:t>s</w:t>
      </w:r>
      <w:r w:rsidR="00014583">
        <w:rPr>
          <w:sz w:val="24"/>
          <w:szCs w:val="24"/>
        </w:rPr>
        <w:t xml:space="preserve"> in public service numbers</w:t>
      </w:r>
      <w:r w:rsidR="006C2855">
        <w:rPr>
          <w:sz w:val="24"/>
          <w:szCs w:val="24"/>
        </w:rPr>
        <w:t xml:space="preserve"> in </w:t>
      </w:r>
      <w:r w:rsidR="00851221">
        <w:rPr>
          <w:sz w:val="24"/>
          <w:szCs w:val="24"/>
        </w:rPr>
        <w:t>17 of the 27</w:t>
      </w:r>
      <w:r w:rsidR="006C2855">
        <w:rPr>
          <w:sz w:val="24"/>
          <w:szCs w:val="24"/>
        </w:rPr>
        <w:t xml:space="preserve"> Member</w:t>
      </w:r>
      <w:r w:rsidR="0003543A">
        <w:rPr>
          <w:sz w:val="24"/>
          <w:szCs w:val="24"/>
        </w:rPr>
        <w:t xml:space="preserve"> States</w:t>
      </w:r>
      <w:r w:rsidR="00B72D30">
        <w:rPr>
          <w:sz w:val="24"/>
          <w:szCs w:val="24"/>
        </w:rPr>
        <w:t xml:space="preserve"> and an increase </w:t>
      </w:r>
      <w:r w:rsidR="00F169F9">
        <w:rPr>
          <w:sz w:val="24"/>
          <w:szCs w:val="24"/>
        </w:rPr>
        <w:t>in the</w:t>
      </w:r>
      <w:r w:rsidR="001C69F3">
        <w:rPr>
          <w:sz w:val="24"/>
          <w:szCs w:val="24"/>
        </w:rPr>
        <w:t xml:space="preserve"> </w:t>
      </w:r>
      <w:r w:rsidR="00B72D30">
        <w:rPr>
          <w:sz w:val="24"/>
          <w:szCs w:val="24"/>
        </w:rPr>
        <w:t xml:space="preserve">remaining </w:t>
      </w:r>
      <w:r w:rsidR="00851221">
        <w:rPr>
          <w:sz w:val="24"/>
          <w:szCs w:val="24"/>
        </w:rPr>
        <w:t>10</w:t>
      </w:r>
      <w:r w:rsidR="00014583">
        <w:rPr>
          <w:sz w:val="24"/>
          <w:szCs w:val="24"/>
        </w:rPr>
        <w:t xml:space="preserve">. </w:t>
      </w:r>
      <w:r w:rsidR="006C2855">
        <w:rPr>
          <w:sz w:val="24"/>
          <w:szCs w:val="24"/>
        </w:rPr>
        <w:t>The number</w:t>
      </w:r>
      <w:r w:rsidR="00B72D30">
        <w:rPr>
          <w:sz w:val="24"/>
          <w:szCs w:val="24"/>
        </w:rPr>
        <w:t xml:space="preserve"> of Member States reporting an inc</w:t>
      </w:r>
      <w:r w:rsidR="006C2855">
        <w:rPr>
          <w:sz w:val="24"/>
          <w:szCs w:val="24"/>
        </w:rPr>
        <w:t>rease is more a function of the</w:t>
      </w:r>
      <w:r w:rsidR="00014583">
        <w:rPr>
          <w:sz w:val="24"/>
          <w:szCs w:val="24"/>
        </w:rPr>
        <w:t xml:space="preserve"> </w:t>
      </w:r>
      <w:r w:rsidR="00B72D30">
        <w:rPr>
          <w:sz w:val="24"/>
          <w:szCs w:val="24"/>
        </w:rPr>
        <w:t xml:space="preserve">relatively </w:t>
      </w:r>
      <w:r w:rsidR="006C2855">
        <w:rPr>
          <w:sz w:val="24"/>
          <w:szCs w:val="24"/>
        </w:rPr>
        <w:t xml:space="preserve">long time span of the </w:t>
      </w:r>
      <w:r w:rsidR="00C51993">
        <w:rPr>
          <w:sz w:val="24"/>
          <w:szCs w:val="24"/>
        </w:rPr>
        <w:t>Survey</w:t>
      </w:r>
      <w:r w:rsidR="0003543A">
        <w:rPr>
          <w:sz w:val="24"/>
          <w:szCs w:val="24"/>
        </w:rPr>
        <w:t xml:space="preserve"> </w:t>
      </w:r>
      <w:r w:rsidR="00014583">
        <w:rPr>
          <w:sz w:val="24"/>
          <w:szCs w:val="24"/>
        </w:rPr>
        <w:t>(2006-2012)</w:t>
      </w:r>
      <w:r w:rsidR="006C2855">
        <w:rPr>
          <w:sz w:val="24"/>
          <w:szCs w:val="24"/>
        </w:rPr>
        <w:t>,</w:t>
      </w:r>
      <w:r w:rsidR="00014583">
        <w:rPr>
          <w:sz w:val="24"/>
          <w:szCs w:val="24"/>
        </w:rPr>
        <w:t xml:space="preserve"> </w:t>
      </w:r>
      <w:r w:rsidR="00B72D30">
        <w:rPr>
          <w:sz w:val="24"/>
          <w:szCs w:val="24"/>
        </w:rPr>
        <w:t xml:space="preserve">which covered </w:t>
      </w:r>
      <w:r w:rsidR="00014583">
        <w:rPr>
          <w:sz w:val="24"/>
          <w:szCs w:val="24"/>
        </w:rPr>
        <w:t>both expansi</w:t>
      </w:r>
      <w:r w:rsidR="0069799C">
        <w:rPr>
          <w:sz w:val="24"/>
          <w:szCs w:val="24"/>
        </w:rPr>
        <w:t>onary and recessionary</w:t>
      </w:r>
      <w:r w:rsidR="0003543A">
        <w:rPr>
          <w:sz w:val="24"/>
          <w:szCs w:val="24"/>
        </w:rPr>
        <w:t xml:space="preserve"> periods</w:t>
      </w:r>
      <w:r w:rsidR="0069799C">
        <w:rPr>
          <w:sz w:val="24"/>
          <w:szCs w:val="24"/>
        </w:rPr>
        <w:t>.  For example, i</w:t>
      </w:r>
      <w:r w:rsidR="00014583">
        <w:rPr>
          <w:sz w:val="24"/>
          <w:szCs w:val="24"/>
        </w:rPr>
        <w:t>n the period 2006</w:t>
      </w:r>
      <w:r w:rsidR="0003543A">
        <w:rPr>
          <w:sz w:val="24"/>
          <w:szCs w:val="24"/>
        </w:rPr>
        <w:t xml:space="preserve"> to 2008</w:t>
      </w:r>
      <w:r w:rsidR="00B00C32">
        <w:rPr>
          <w:sz w:val="24"/>
          <w:szCs w:val="24"/>
        </w:rPr>
        <w:t>,</w:t>
      </w:r>
      <w:r w:rsidR="00014583">
        <w:rPr>
          <w:sz w:val="24"/>
          <w:szCs w:val="24"/>
        </w:rPr>
        <w:t xml:space="preserve"> </w:t>
      </w:r>
      <w:r w:rsidR="0003543A">
        <w:rPr>
          <w:sz w:val="24"/>
          <w:szCs w:val="24"/>
        </w:rPr>
        <w:t xml:space="preserve">a number of </w:t>
      </w:r>
      <w:r w:rsidR="00014583">
        <w:rPr>
          <w:sz w:val="24"/>
          <w:szCs w:val="24"/>
        </w:rPr>
        <w:t xml:space="preserve">Member </w:t>
      </w:r>
      <w:r w:rsidR="004549B0">
        <w:rPr>
          <w:sz w:val="24"/>
          <w:szCs w:val="24"/>
        </w:rPr>
        <w:t>States</w:t>
      </w:r>
      <w:r w:rsidR="0028638F">
        <w:rPr>
          <w:sz w:val="24"/>
          <w:szCs w:val="24"/>
        </w:rPr>
        <w:t xml:space="preserve"> </w:t>
      </w:r>
      <w:r w:rsidR="009270D8">
        <w:rPr>
          <w:sz w:val="24"/>
          <w:szCs w:val="24"/>
        </w:rPr>
        <w:t xml:space="preserve">were </w:t>
      </w:r>
      <w:r w:rsidR="00014583">
        <w:rPr>
          <w:sz w:val="24"/>
          <w:szCs w:val="24"/>
        </w:rPr>
        <w:t>expand</w:t>
      </w:r>
      <w:r w:rsidR="009270D8">
        <w:rPr>
          <w:sz w:val="24"/>
          <w:szCs w:val="24"/>
        </w:rPr>
        <w:t>ing</w:t>
      </w:r>
      <w:r w:rsidR="0003543A">
        <w:rPr>
          <w:sz w:val="24"/>
          <w:szCs w:val="24"/>
        </w:rPr>
        <w:t xml:space="preserve"> </w:t>
      </w:r>
      <w:r w:rsidR="00014583">
        <w:rPr>
          <w:sz w:val="24"/>
          <w:szCs w:val="24"/>
        </w:rPr>
        <w:t>the public service to take account of extra res</w:t>
      </w:r>
      <w:r w:rsidR="009270D8">
        <w:rPr>
          <w:sz w:val="24"/>
          <w:szCs w:val="24"/>
        </w:rPr>
        <w:t xml:space="preserve">ponsibilities arising from </w:t>
      </w:r>
      <w:r w:rsidR="00014583">
        <w:rPr>
          <w:sz w:val="24"/>
          <w:szCs w:val="24"/>
        </w:rPr>
        <w:t xml:space="preserve">membership of the EU. </w:t>
      </w:r>
      <w:r w:rsidR="009270D8">
        <w:rPr>
          <w:sz w:val="24"/>
          <w:szCs w:val="24"/>
        </w:rPr>
        <w:t xml:space="preserve">In that period </w:t>
      </w:r>
      <w:r w:rsidR="001C69F3">
        <w:rPr>
          <w:sz w:val="24"/>
          <w:szCs w:val="24"/>
        </w:rPr>
        <w:t xml:space="preserve">also </w:t>
      </w:r>
      <w:r w:rsidR="009270D8">
        <w:rPr>
          <w:sz w:val="24"/>
          <w:szCs w:val="24"/>
        </w:rPr>
        <w:t>t</w:t>
      </w:r>
      <w:r w:rsidR="00054C15">
        <w:rPr>
          <w:sz w:val="24"/>
          <w:szCs w:val="24"/>
        </w:rPr>
        <w:t>he economic situation across Member States was still positive</w:t>
      </w:r>
      <w:r w:rsidR="006C2855">
        <w:rPr>
          <w:sz w:val="24"/>
          <w:szCs w:val="24"/>
        </w:rPr>
        <w:t>, resulting</w:t>
      </w:r>
      <w:r w:rsidR="00054C15">
        <w:rPr>
          <w:sz w:val="24"/>
          <w:szCs w:val="24"/>
        </w:rPr>
        <w:t xml:space="preserve"> </w:t>
      </w:r>
      <w:r w:rsidR="006C2855">
        <w:rPr>
          <w:sz w:val="24"/>
          <w:szCs w:val="24"/>
        </w:rPr>
        <w:t>in a</w:t>
      </w:r>
      <w:r w:rsidR="00054C15">
        <w:rPr>
          <w:sz w:val="24"/>
          <w:szCs w:val="24"/>
        </w:rPr>
        <w:t xml:space="preserve"> </w:t>
      </w:r>
      <w:r w:rsidR="00014583">
        <w:rPr>
          <w:sz w:val="24"/>
          <w:szCs w:val="24"/>
        </w:rPr>
        <w:t>pe</w:t>
      </w:r>
      <w:r w:rsidR="00B00C32">
        <w:rPr>
          <w:sz w:val="24"/>
          <w:szCs w:val="24"/>
        </w:rPr>
        <w:t>a</w:t>
      </w:r>
      <w:r w:rsidR="00014583">
        <w:rPr>
          <w:sz w:val="24"/>
          <w:szCs w:val="24"/>
        </w:rPr>
        <w:t xml:space="preserve">k in </w:t>
      </w:r>
      <w:r w:rsidR="00054C15">
        <w:rPr>
          <w:sz w:val="24"/>
          <w:szCs w:val="24"/>
        </w:rPr>
        <w:t xml:space="preserve">public service </w:t>
      </w:r>
      <w:r w:rsidR="00014583">
        <w:rPr>
          <w:sz w:val="24"/>
          <w:szCs w:val="24"/>
        </w:rPr>
        <w:t xml:space="preserve">numbers </w:t>
      </w:r>
      <w:r w:rsidR="001C69F3">
        <w:rPr>
          <w:sz w:val="24"/>
          <w:szCs w:val="24"/>
        </w:rPr>
        <w:t xml:space="preserve">around </w:t>
      </w:r>
      <w:r w:rsidR="00014583">
        <w:rPr>
          <w:sz w:val="24"/>
          <w:szCs w:val="24"/>
        </w:rPr>
        <w:t>2008</w:t>
      </w:r>
      <w:r w:rsidR="00A84846">
        <w:rPr>
          <w:sz w:val="24"/>
          <w:szCs w:val="24"/>
        </w:rPr>
        <w:t xml:space="preserve"> </w:t>
      </w:r>
      <w:r w:rsidR="001C69F3">
        <w:rPr>
          <w:sz w:val="24"/>
          <w:szCs w:val="24"/>
        </w:rPr>
        <w:t>and p</w:t>
      </w:r>
      <w:r w:rsidR="003C734A">
        <w:rPr>
          <w:sz w:val="24"/>
          <w:szCs w:val="24"/>
        </w:rPr>
        <w:t>ublic service numbers beg</w:t>
      </w:r>
      <w:r w:rsidR="001C69F3">
        <w:rPr>
          <w:sz w:val="24"/>
          <w:szCs w:val="24"/>
        </w:rPr>
        <w:t xml:space="preserve">an </w:t>
      </w:r>
      <w:r w:rsidR="003C734A">
        <w:rPr>
          <w:sz w:val="24"/>
          <w:szCs w:val="24"/>
        </w:rPr>
        <w:t xml:space="preserve">to fall after 2008 across EUPAN members. </w:t>
      </w:r>
      <w:r w:rsidR="004549B0">
        <w:rPr>
          <w:sz w:val="24"/>
          <w:szCs w:val="24"/>
        </w:rPr>
        <w:t xml:space="preserve"> The analysis is therefore critically dependent on the base year</w:t>
      </w:r>
      <w:r w:rsidR="001C69F3">
        <w:rPr>
          <w:sz w:val="24"/>
          <w:szCs w:val="24"/>
        </w:rPr>
        <w:t xml:space="preserve"> chosen</w:t>
      </w:r>
      <w:r w:rsidR="00A84846">
        <w:rPr>
          <w:sz w:val="24"/>
          <w:szCs w:val="24"/>
        </w:rPr>
        <w:t>.</w:t>
      </w:r>
    </w:p>
    <w:p w:rsidR="00EF1E4C" w:rsidRDefault="00EF1E4C" w:rsidP="003E4FC2">
      <w:pPr>
        <w:spacing w:after="0" w:line="240" w:lineRule="auto"/>
        <w:ind w:left="360"/>
        <w:jc w:val="both"/>
        <w:rPr>
          <w:sz w:val="24"/>
          <w:szCs w:val="24"/>
        </w:rPr>
      </w:pPr>
    </w:p>
    <w:p w:rsidR="006C2855" w:rsidRDefault="003C734A" w:rsidP="00DB30F1">
      <w:pPr>
        <w:ind w:left="360"/>
        <w:jc w:val="both"/>
        <w:rPr>
          <w:sz w:val="24"/>
          <w:szCs w:val="24"/>
        </w:rPr>
      </w:pPr>
      <w:r>
        <w:rPr>
          <w:sz w:val="24"/>
          <w:szCs w:val="24"/>
        </w:rPr>
        <w:t>F</w:t>
      </w:r>
      <w:r w:rsidR="00A218C6">
        <w:rPr>
          <w:sz w:val="24"/>
          <w:szCs w:val="24"/>
        </w:rPr>
        <w:t xml:space="preserve">igure </w:t>
      </w:r>
      <w:r w:rsidR="00307E3D">
        <w:rPr>
          <w:sz w:val="24"/>
          <w:szCs w:val="24"/>
        </w:rPr>
        <w:t>1.2</w:t>
      </w:r>
      <w:r>
        <w:rPr>
          <w:sz w:val="24"/>
          <w:szCs w:val="24"/>
        </w:rPr>
        <w:t xml:space="preserve"> and Figure 1.</w:t>
      </w:r>
      <w:r w:rsidR="00307E3D">
        <w:rPr>
          <w:sz w:val="24"/>
          <w:szCs w:val="24"/>
        </w:rPr>
        <w:t>3</w:t>
      </w:r>
      <w:r>
        <w:rPr>
          <w:sz w:val="24"/>
          <w:szCs w:val="24"/>
        </w:rPr>
        <w:t xml:space="preserve"> below </w:t>
      </w:r>
      <w:r w:rsidR="006C2855">
        <w:rPr>
          <w:sz w:val="24"/>
          <w:szCs w:val="24"/>
        </w:rPr>
        <w:t>show the</w:t>
      </w:r>
      <w:r w:rsidR="002E0C9E">
        <w:rPr>
          <w:sz w:val="24"/>
          <w:szCs w:val="24"/>
        </w:rPr>
        <w:t xml:space="preserve"> Member States experiencing numbers</w:t>
      </w:r>
      <w:r w:rsidR="006C2855">
        <w:rPr>
          <w:sz w:val="24"/>
          <w:szCs w:val="24"/>
        </w:rPr>
        <w:t xml:space="preserve"> </w:t>
      </w:r>
      <w:r w:rsidR="002E0C9E">
        <w:rPr>
          <w:sz w:val="24"/>
          <w:szCs w:val="24"/>
        </w:rPr>
        <w:t>reductions and increases respectively over the peri</w:t>
      </w:r>
      <w:r w:rsidR="0028638F">
        <w:rPr>
          <w:sz w:val="24"/>
          <w:szCs w:val="24"/>
        </w:rPr>
        <w:t>od 2006-2013</w:t>
      </w:r>
    </w:p>
    <w:p w:rsidR="001C69F3" w:rsidRDefault="001C69F3" w:rsidP="00DB30F1">
      <w:pPr>
        <w:ind w:left="360"/>
        <w:jc w:val="both"/>
        <w:rPr>
          <w:sz w:val="24"/>
          <w:szCs w:val="24"/>
        </w:rPr>
      </w:pPr>
    </w:p>
    <w:p w:rsidR="009F1F7E" w:rsidRDefault="009F1F7E" w:rsidP="00DB30F1">
      <w:pPr>
        <w:ind w:left="360"/>
        <w:jc w:val="both"/>
        <w:rPr>
          <w:sz w:val="24"/>
          <w:szCs w:val="24"/>
        </w:rPr>
      </w:pPr>
    </w:p>
    <w:p w:rsidR="00A84846" w:rsidRDefault="00A84846" w:rsidP="00A84846">
      <w:pPr>
        <w:spacing w:after="0" w:line="240" w:lineRule="auto"/>
        <w:jc w:val="both"/>
        <w:rPr>
          <w:sz w:val="24"/>
          <w:szCs w:val="24"/>
        </w:rPr>
      </w:pPr>
    </w:p>
    <w:p w:rsidR="00F169F9" w:rsidRDefault="002E0C9E" w:rsidP="00A84846">
      <w:pPr>
        <w:spacing w:after="0" w:line="240" w:lineRule="auto"/>
        <w:ind w:left="720" w:firstLine="720"/>
        <w:jc w:val="both"/>
        <w:rPr>
          <w:b/>
          <w:sz w:val="20"/>
          <w:szCs w:val="20"/>
        </w:rPr>
      </w:pPr>
      <w:r w:rsidRPr="00F169F9">
        <w:rPr>
          <w:b/>
          <w:sz w:val="20"/>
          <w:szCs w:val="20"/>
        </w:rPr>
        <w:t>Figure 1.</w:t>
      </w:r>
      <w:r w:rsidR="00307E3D" w:rsidRPr="00F169F9">
        <w:rPr>
          <w:b/>
          <w:sz w:val="20"/>
          <w:szCs w:val="20"/>
        </w:rPr>
        <w:t>2</w:t>
      </w:r>
      <w:r w:rsidRPr="00F169F9">
        <w:rPr>
          <w:b/>
          <w:sz w:val="20"/>
          <w:szCs w:val="20"/>
        </w:rPr>
        <w:t xml:space="preserve">: </w:t>
      </w:r>
      <w:r w:rsidR="00F169F9">
        <w:rPr>
          <w:b/>
          <w:sz w:val="20"/>
          <w:szCs w:val="20"/>
        </w:rPr>
        <w:tab/>
      </w:r>
      <w:r w:rsidR="00A662B7" w:rsidRPr="00F169F9">
        <w:rPr>
          <w:b/>
          <w:sz w:val="20"/>
          <w:szCs w:val="20"/>
        </w:rPr>
        <w:t>Percentage Decrease</w:t>
      </w:r>
      <w:r w:rsidR="00EC3BDC" w:rsidRPr="00F169F9">
        <w:rPr>
          <w:b/>
          <w:sz w:val="20"/>
          <w:szCs w:val="20"/>
        </w:rPr>
        <w:t xml:space="preserve"> in Number of Civil Servants/Public Servants</w:t>
      </w:r>
      <w:r w:rsidR="00A218C6" w:rsidRPr="00F169F9">
        <w:rPr>
          <w:b/>
          <w:sz w:val="20"/>
          <w:szCs w:val="20"/>
        </w:rPr>
        <w:t xml:space="preserve"> </w:t>
      </w:r>
    </w:p>
    <w:p w:rsidR="00A84846" w:rsidRDefault="00A218C6" w:rsidP="00A84846">
      <w:pPr>
        <w:spacing w:after="0" w:line="240" w:lineRule="auto"/>
        <w:ind w:left="2160" w:firstLine="720"/>
        <w:jc w:val="both"/>
        <w:rPr>
          <w:b/>
          <w:sz w:val="20"/>
          <w:szCs w:val="20"/>
        </w:rPr>
      </w:pPr>
      <w:proofErr w:type="gramStart"/>
      <w:r w:rsidRPr="00F169F9">
        <w:rPr>
          <w:b/>
          <w:sz w:val="20"/>
          <w:szCs w:val="20"/>
        </w:rPr>
        <w:t>across</w:t>
      </w:r>
      <w:proofErr w:type="gramEnd"/>
      <w:r w:rsidR="00F169F9" w:rsidRPr="00F169F9">
        <w:rPr>
          <w:b/>
          <w:sz w:val="20"/>
          <w:szCs w:val="20"/>
        </w:rPr>
        <w:t xml:space="preserve"> </w:t>
      </w:r>
      <w:r w:rsidRPr="00F169F9">
        <w:rPr>
          <w:b/>
          <w:sz w:val="20"/>
          <w:szCs w:val="20"/>
        </w:rPr>
        <w:t>Member States</w:t>
      </w:r>
      <w:r w:rsidR="00A84846">
        <w:rPr>
          <w:b/>
          <w:sz w:val="20"/>
          <w:szCs w:val="20"/>
        </w:rPr>
        <w:t xml:space="preserve"> – 2012</w:t>
      </w:r>
      <w:r w:rsidR="001178D6" w:rsidRPr="00F169F9">
        <w:rPr>
          <w:b/>
          <w:sz w:val="20"/>
          <w:szCs w:val="20"/>
        </w:rPr>
        <w:t xml:space="preserve"> vs. 2006</w:t>
      </w:r>
    </w:p>
    <w:p w:rsidR="00A84846" w:rsidRPr="00F169F9" w:rsidRDefault="00A84846" w:rsidP="00A84846">
      <w:pPr>
        <w:spacing w:after="0" w:line="240" w:lineRule="auto"/>
        <w:ind w:left="2880"/>
        <w:jc w:val="both"/>
        <w:rPr>
          <w:b/>
          <w:sz w:val="20"/>
          <w:szCs w:val="20"/>
        </w:rPr>
      </w:pPr>
    </w:p>
    <w:p w:rsidR="003C0146" w:rsidRDefault="00E2727A" w:rsidP="003E4FC2">
      <w:pPr>
        <w:spacing w:after="0" w:line="240" w:lineRule="auto"/>
        <w:ind w:left="851"/>
        <w:jc w:val="both"/>
        <w:rPr>
          <w:sz w:val="24"/>
          <w:szCs w:val="24"/>
        </w:rPr>
      </w:pPr>
      <w:r>
        <w:rPr>
          <w:noProof/>
          <w:sz w:val="24"/>
          <w:szCs w:val="24"/>
          <w:lang w:val="en-US"/>
        </w:rPr>
        <w:drawing>
          <wp:inline distT="0" distB="0" distL="0" distR="0" wp14:anchorId="3AE306E8" wp14:editId="328CC1A2">
            <wp:extent cx="4733925" cy="2686050"/>
            <wp:effectExtent l="0" t="0" r="0" b="0"/>
            <wp:docPr id="3"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D08A4" w:rsidRPr="001A62CB" w:rsidRDefault="00CD08A4" w:rsidP="003E4FC2">
      <w:pPr>
        <w:spacing w:after="0" w:line="240" w:lineRule="auto"/>
        <w:ind w:left="851"/>
        <w:jc w:val="both"/>
        <w:rPr>
          <w:sz w:val="24"/>
          <w:szCs w:val="24"/>
        </w:rPr>
      </w:pPr>
    </w:p>
    <w:p w:rsidR="00760B43" w:rsidRDefault="00760B43" w:rsidP="003E4FC2">
      <w:pPr>
        <w:spacing w:after="0" w:line="240" w:lineRule="auto"/>
        <w:ind w:left="851"/>
        <w:jc w:val="both"/>
        <w:rPr>
          <w:sz w:val="24"/>
          <w:szCs w:val="24"/>
        </w:rPr>
      </w:pPr>
    </w:p>
    <w:p w:rsidR="007F26EE" w:rsidRDefault="007F26EE" w:rsidP="00DB30F1">
      <w:pPr>
        <w:pStyle w:val="ListParagraph"/>
        <w:spacing w:after="0" w:line="240" w:lineRule="auto"/>
        <w:ind w:left="851"/>
        <w:jc w:val="both"/>
        <w:rPr>
          <w:sz w:val="24"/>
          <w:szCs w:val="24"/>
        </w:rPr>
      </w:pPr>
      <w:r w:rsidRPr="00DC3D82">
        <w:rPr>
          <w:b/>
          <w:sz w:val="24"/>
          <w:szCs w:val="24"/>
        </w:rPr>
        <w:t>Finland</w:t>
      </w:r>
      <w:r w:rsidR="0069167F">
        <w:rPr>
          <w:sz w:val="24"/>
          <w:szCs w:val="24"/>
        </w:rPr>
        <w:t>, at 35%</w:t>
      </w:r>
      <w:r w:rsidR="006C2855">
        <w:rPr>
          <w:sz w:val="24"/>
          <w:szCs w:val="24"/>
        </w:rPr>
        <w:t>,</w:t>
      </w:r>
      <w:r w:rsidR="0069167F">
        <w:rPr>
          <w:sz w:val="24"/>
          <w:szCs w:val="24"/>
        </w:rPr>
        <w:t xml:space="preserve"> </w:t>
      </w:r>
      <w:r>
        <w:rPr>
          <w:sz w:val="24"/>
          <w:szCs w:val="24"/>
        </w:rPr>
        <w:t>shows the biggest reduction</w:t>
      </w:r>
      <w:r w:rsidR="0069167F">
        <w:rPr>
          <w:sz w:val="24"/>
          <w:szCs w:val="24"/>
        </w:rPr>
        <w:t xml:space="preserve">. </w:t>
      </w:r>
      <w:r w:rsidR="00973F7C">
        <w:rPr>
          <w:sz w:val="24"/>
          <w:szCs w:val="24"/>
        </w:rPr>
        <w:t>T</w:t>
      </w:r>
      <w:r w:rsidR="00F847B0">
        <w:rPr>
          <w:sz w:val="24"/>
          <w:szCs w:val="24"/>
        </w:rPr>
        <w:t xml:space="preserve">he returns for 2012 reflect </w:t>
      </w:r>
      <w:r w:rsidR="00E64EDE">
        <w:rPr>
          <w:sz w:val="24"/>
          <w:szCs w:val="24"/>
        </w:rPr>
        <w:t xml:space="preserve">the effects of </w:t>
      </w:r>
      <w:r w:rsidR="00973F7C">
        <w:rPr>
          <w:sz w:val="24"/>
          <w:szCs w:val="24"/>
        </w:rPr>
        <w:t>reforms in the university sector</w:t>
      </w:r>
      <w:r w:rsidR="001C69F3">
        <w:rPr>
          <w:sz w:val="24"/>
          <w:szCs w:val="24"/>
        </w:rPr>
        <w:t>;</w:t>
      </w:r>
      <w:r w:rsidR="00973F7C">
        <w:rPr>
          <w:sz w:val="24"/>
          <w:szCs w:val="24"/>
        </w:rPr>
        <w:t xml:space="preserve"> since</w:t>
      </w:r>
      <w:r w:rsidR="00F847B0">
        <w:rPr>
          <w:sz w:val="24"/>
          <w:szCs w:val="24"/>
        </w:rPr>
        <w:t xml:space="preserve"> </w:t>
      </w:r>
      <w:r w:rsidR="00973F7C">
        <w:rPr>
          <w:sz w:val="24"/>
          <w:szCs w:val="24"/>
        </w:rPr>
        <w:t xml:space="preserve">2010 approximately </w:t>
      </w:r>
      <w:r w:rsidR="00F847B0">
        <w:rPr>
          <w:sz w:val="24"/>
          <w:szCs w:val="24"/>
        </w:rPr>
        <w:t>3</w:t>
      </w:r>
      <w:r w:rsidR="00973F7C">
        <w:rPr>
          <w:sz w:val="24"/>
          <w:szCs w:val="24"/>
        </w:rPr>
        <w:t>4</w:t>
      </w:r>
      <w:r w:rsidR="00F847B0">
        <w:rPr>
          <w:sz w:val="24"/>
          <w:szCs w:val="24"/>
        </w:rPr>
        <w:t>,</w:t>
      </w:r>
      <w:r w:rsidR="00973F7C">
        <w:rPr>
          <w:sz w:val="24"/>
          <w:szCs w:val="24"/>
        </w:rPr>
        <w:t>000</w:t>
      </w:r>
      <w:r w:rsidR="00F847B0">
        <w:rPr>
          <w:sz w:val="24"/>
          <w:szCs w:val="24"/>
        </w:rPr>
        <w:t xml:space="preserve"> employees in the university sector </w:t>
      </w:r>
      <w:r w:rsidR="00973F7C">
        <w:rPr>
          <w:sz w:val="24"/>
          <w:szCs w:val="24"/>
        </w:rPr>
        <w:t xml:space="preserve">are now treated as private sector and </w:t>
      </w:r>
      <w:r w:rsidR="00F847B0">
        <w:rPr>
          <w:sz w:val="24"/>
          <w:szCs w:val="24"/>
        </w:rPr>
        <w:t>are no longer counted in central government</w:t>
      </w:r>
      <w:r w:rsidR="00973F7C">
        <w:rPr>
          <w:sz w:val="24"/>
          <w:szCs w:val="24"/>
        </w:rPr>
        <w:t xml:space="preserve"> figures.</w:t>
      </w:r>
    </w:p>
    <w:p w:rsidR="00DC3D82" w:rsidRDefault="00DC3D82" w:rsidP="00DB30F1">
      <w:pPr>
        <w:pStyle w:val="ListParagraph"/>
        <w:spacing w:after="0" w:line="240" w:lineRule="auto"/>
        <w:ind w:left="851"/>
        <w:jc w:val="both"/>
        <w:rPr>
          <w:sz w:val="24"/>
          <w:szCs w:val="24"/>
        </w:rPr>
      </w:pPr>
    </w:p>
    <w:p w:rsidR="00760B43" w:rsidRDefault="004549B0" w:rsidP="00DB30F1">
      <w:pPr>
        <w:pStyle w:val="ListParagraph"/>
        <w:spacing w:after="0" w:line="240" w:lineRule="auto"/>
        <w:ind w:left="851"/>
        <w:jc w:val="both"/>
        <w:rPr>
          <w:sz w:val="24"/>
          <w:szCs w:val="24"/>
        </w:rPr>
      </w:pPr>
      <w:r>
        <w:rPr>
          <w:sz w:val="24"/>
          <w:szCs w:val="24"/>
        </w:rPr>
        <w:t>At the other end of the spectrum</w:t>
      </w:r>
      <w:r w:rsidR="006C2855">
        <w:rPr>
          <w:sz w:val="24"/>
          <w:szCs w:val="24"/>
        </w:rPr>
        <w:t>,</w:t>
      </w:r>
      <w:r>
        <w:rPr>
          <w:sz w:val="24"/>
          <w:szCs w:val="24"/>
        </w:rPr>
        <w:t xml:space="preserve"> </w:t>
      </w:r>
      <w:r w:rsidR="006C2855">
        <w:rPr>
          <w:sz w:val="24"/>
          <w:szCs w:val="24"/>
        </w:rPr>
        <w:t>t</w:t>
      </w:r>
      <w:r w:rsidR="006C2855" w:rsidRPr="00B867E2">
        <w:rPr>
          <w:sz w:val="24"/>
          <w:szCs w:val="24"/>
        </w:rPr>
        <w:t xml:space="preserve">he </w:t>
      </w:r>
      <w:r w:rsidR="006C2855">
        <w:rPr>
          <w:sz w:val="24"/>
          <w:szCs w:val="24"/>
        </w:rPr>
        <w:t xml:space="preserve">results </w:t>
      </w:r>
      <w:r w:rsidR="006C2855" w:rsidRPr="00B867E2">
        <w:rPr>
          <w:sz w:val="24"/>
          <w:szCs w:val="24"/>
        </w:rPr>
        <w:t xml:space="preserve">for </w:t>
      </w:r>
      <w:r w:rsidR="006C2855" w:rsidRPr="00DC3D82">
        <w:rPr>
          <w:b/>
          <w:sz w:val="24"/>
          <w:szCs w:val="24"/>
        </w:rPr>
        <w:t>Ireland</w:t>
      </w:r>
      <w:r w:rsidR="006C2855" w:rsidRPr="00B867E2">
        <w:rPr>
          <w:sz w:val="24"/>
          <w:szCs w:val="24"/>
        </w:rPr>
        <w:t xml:space="preserve"> show</w:t>
      </w:r>
      <w:r w:rsidR="007F26EE" w:rsidRPr="00B867E2">
        <w:rPr>
          <w:sz w:val="24"/>
          <w:szCs w:val="24"/>
        </w:rPr>
        <w:t xml:space="preserve"> a reduction of</w:t>
      </w:r>
      <w:r>
        <w:rPr>
          <w:sz w:val="24"/>
          <w:szCs w:val="24"/>
        </w:rPr>
        <w:t xml:space="preserve"> </w:t>
      </w:r>
      <w:r w:rsidR="006C2855">
        <w:rPr>
          <w:sz w:val="24"/>
          <w:szCs w:val="24"/>
        </w:rPr>
        <w:t xml:space="preserve">only </w:t>
      </w:r>
      <w:r w:rsidR="006C2855" w:rsidRPr="00B867E2">
        <w:rPr>
          <w:sz w:val="24"/>
          <w:szCs w:val="24"/>
        </w:rPr>
        <w:t>2</w:t>
      </w:r>
      <w:r w:rsidR="007F26EE" w:rsidRPr="00B867E2">
        <w:rPr>
          <w:sz w:val="24"/>
          <w:szCs w:val="24"/>
        </w:rPr>
        <w:t>% when compared with</w:t>
      </w:r>
      <w:r w:rsidR="00E64EDE">
        <w:rPr>
          <w:sz w:val="24"/>
          <w:szCs w:val="24"/>
        </w:rPr>
        <w:t xml:space="preserve"> 2006. However, the transfer </w:t>
      </w:r>
      <w:r w:rsidR="00CB5D34">
        <w:rPr>
          <w:sz w:val="24"/>
          <w:szCs w:val="24"/>
        </w:rPr>
        <w:t>to the C</w:t>
      </w:r>
      <w:r w:rsidR="0098568F">
        <w:rPr>
          <w:sz w:val="24"/>
          <w:szCs w:val="24"/>
        </w:rPr>
        <w:t xml:space="preserve">ivil </w:t>
      </w:r>
      <w:r w:rsidR="00CB5D34">
        <w:rPr>
          <w:sz w:val="24"/>
          <w:szCs w:val="24"/>
        </w:rPr>
        <w:t>S</w:t>
      </w:r>
      <w:r w:rsidR="0098568F">
        <w:rPr>
          <w:sz w:val="24"/>
          <w:szCs w:val="24"/>
        </w:rPr>
        <w:t>ervic</w:t>
      </w:r>
      <w:r w:rsidR="00CB5D34">
        <w:rPr>
          <w:sz w:val="24"/>
          <w:szCs w:val="24"/>
        </w:rPr>
        <w:t xml:space="preserve">e </w:t>
      </w:r>
      <w:r w:rsidR="0098568F">
        <w:rPr>
          <w:sz w:val="24"/>
          <w:szCs w:val="24"/>
        </w:rPr>
        <w:t xml:space="preserve">of </w:t>
      </w:r>
      <w:r w:rsidR="007F26EE" w:rsidRPr="00B867E2">
        <w:rPr>
          <w:sz w:val="24"/>
          <w:szCs w:val="24"/>
        </w:rPr>
        <w:t xml:space="preserve">1,770 public servants (Community Welfare Service and National Training Authority) masks the overall reductions </w:t>
      </w:r>
      <w:r w:rsidR="00B867E2" w:rsidRPr="00B867E2">
        <w:rPr>
          <w:sz w:val="24"/>
          <w:szCs w:val="24"/>
        </w:rPr>
        <w:t>in the period. Without these transfers the Civil Service figure would have been closer to 34,600</w:t>
      </w:r>
      <w:r w:rsidR="00AE38AB">
        <w:rPr>
          <w:sz w:val="24"/>
          <w:szCs w:val="24"/>
        </w:rPr>
        <w:t xml:space="preserve"> as against 36,239</w:t>
      </w:r>
      <w:r>
        <w:rPr>
          <w:sz w:val="24"/>
          <w:szCs w:val="24"/>
        </w:rPr>
        <w:t xml:space="preserve"> </w:t>
      </w:r>
      <w:r w:rsidR="006A6E54">
        <w:rPr>
          <w:sz w:val="24"/>
          <w:szCs w:val="24"/>
        </w:rPr>
        <w:t xml:space="preserve">representing a </w:t>
      </w:r>
      <w:r>
        <w:rPr>
          <w:sz w:val="24"/>
          <w:szCs w:val="24"/>
        </w:rPr>
        <w:t xml:space="preserve">reduction of </w:t>
      </w:r>
      <w:r w:rsidR="006A6E54">
        <w:rPr>
          <w:sz w:val="24"/>
          <w:szCs w:val="24"/>
        </w:rPr>
        <w:t>6.5</w:t>
      </w:r>
      <w:r>
        <w:rPr>
          <w:sz w:val="24"/>
          <w:szCs w:val="24"/>
        </w:rPr>
        <w:t>%</w:t>
      </w:r>
      <w:r w:rsidR="006C2855">
        <w:rPr>
          <w:sz w:val="24"/>
          <w:szCs w:val="24"/>
        </w:rPr>
        <w:t>.</w:t>
      </w:r>
    </w:p>
    <w:p w:rsidR="00DC3D82" w:rsidRDefault="00DC3D82" w:rsidP="00DB30F1">
      <w:pPr>
        <w:pStyle w:val="ListParagraph"/>
        <w:spacing w:after="0" w:line="240" w:lineRule="auto"/>
        <w:ind w:left="851"/>
        <w:jc w:val="both"/>
        <w:rPr>
          <w:sz w:val="24"/>
          <w:szCs w:val="24"/>
        </w:rPr>
      </w:pPr>
    </w:p>
    <w:p w:rsidR="00ED6210" w:rsidRDefault="00863C28" w:rsidP="00DB30F1">
      <w:pPr>
        <w:pStyle w:val="ListParagraph"/>
        <w:spacing w:after="0" w:line="240" w:lineRule="auto"/>
        <w:ind w:left="851"/>
        <w:jc w:val="both"/>
        <w:rPr>
          <w:sz w:val="24"/>
          <w:szCs w:val="24"/>
        </w:rPr>
      </w:pPr>
      <w:r w:rsidRPr="00ED6210">
        <w:rPr>
          <w:sz w:val="24"/>
          <w:szCs w:val="24"/>
        </w:rPr>
        <w:t xml:space="preserve">The figure for </w:t>
      </w:r>
      <w:r w:rsidRPr="00DC3D82">
        <w:rPr>
          <w:b/>
          <w:sz w:val="24"/>
          <w:szCs w:val="24"/>
        </w:rPr>
        <w:t>Italy</w:t>
      </w:r>
      <w:r w:rsidRPr="00ED6210">
        <w:rPr>
          <w:sz w:val="24"/>
          <w:szCs w:val="24"/>
        </w:rPr>
        <w:t xml:space="preserve"> at 3% includes the addition of 22,000 officials not </w:t>
      </w:r>
      <w:r w:rsidR="00ED6210" w:rsidRPr="00ED6210">
        <w:rPr>
          <w:sz w:val="24"/>
          <w:szCs w:val="24"/>
        </w:rPr>
        <w:t xml:space="preserve">previously </w:t>
      </w:r>
      <w:r w:rsidRPr="00ED6210">
        <w:rPr>
          <w:sz w:val="24"/>
          <w:szCs w:val="24"/>
        </w:rPr>
        <w:t xml:space="preserve">classified as civil servants in </w:t>
      </w:r>
      <w:r w:rsidR="006C2855" w:rsidRPr="00ED6210">
        <w:rPr>
          <w:sz w:val="24"/>
          <w:szCs w:val="24"/>
        </w:rPr>
        <w:t xml:space="preserve">the </w:t>
      </w:r>
      <w:r w:rsidR="006C2855">
        <w:rPr>
          <w:sz w:val="24"/>
          <w:szCs w:val="24"/>
        </w:rPr>
        <w:t>2006</w:t>
      </w:r>
      <w:r w:rsidR="004549B0">
        <w:rPr>
          <w:sz w:val="24"/>
          <w:szCs w:val="24"/>
        </w:rPr>
        <w:t xml:space="preserve"> </w:t>
      </w:r>
      <w:r w:rsidRPr="00ED6210">
        <w:rPr>
          <w:sz w:val="24"/>
          <w:szCs w:val="24"/>
        </w:rPr>
        <w:t xml:space="preserve">returns. </w:t>
      </w:r>
    </w:p>
    <w:p w:rsidR="00DC3D82" w:rsidRDefault="00DC3D82" w:rsidP="00DB30F1">
      <w:pPr>
        <w:pStyle w:val="ListParagraph"/>
        <w:spacing w:after="0" w:line="240" w:lineRule="auto"/>
        <w:ind w:left="851"/>
        <w:jc w:val="both"/>
        <w:rPr>
          <w:sz w:val="24"/>
          <w:szCs w:val="24"/>
        </w:rPr>
      </w:pPr>
    </w:p>
    <w:p w:rsidR="003546A9" w:rsidRDefault="003546A9" w:rsidP="00DB30F1">
      <w:pPr>
        <w:pStyle w:val="ListParagraph"/>
        <w:spacing w:after="0" w:line="240" w:lineRule="auto"/>
        <w:ind w:left="851"/>
        <w:jc w:val="both"/>
        <w:rPr>
          <w:sz w:val="24"/>
          <w:szCs w:val="24"/>
        </w:rPr>
      </w:pPr>
      <w:r w:rsidRPr="00ED6210">
        <w:rPr>
          <w:sz w:val="24"/>
          <w:szCs w:val="24"/>
        </w:rPr>
        <w:t xml:space="preserve">In </w:t>
      </w:r>
      <w:r w:rsidRPr="00DC3D82">
        <w:rPr>
          <w:b/>
          <w:sz w:val="24"/>
          <w:szCs w:val="24"/>
        </w:rPr>
        <w:t>Portugal</w:t>
      </w:r>
      <w:r w:rsidRPr="00ED6210">
        <w:rPr>
          <w:sz w:val="24"/>
          <w:szCs w:val="24"/>
        </w:rPr>
        <w:t xml:space="preserve">, the response to the </w:t>
      </w:r>
      <w:r w:rsidR="0093456B">
        <w:rPr>
          <w:sz w:val="24"/>
          <w:szCs w:val="24"/>
        </w:rPr>
        <w:t>Crisis resulted</w:t>
      </w:r>
      <w:r w:rsidR="004549B0">
        <w:rPr>
          <w:sz w:val="24"/>
          <w:szCs w:val="24"/>
        </w:rPr>
        <w:t xml:space="preserve"> in a </w:t>
      </w:r>
      <w:r w:rsidRPr="00ED6210">
        <w:rPr>
          <w:sz w:val="24"/>
          <w:szCs w:val="24"/>
        </w:rPr>
        <w:t>reduction of 22% in numbers serving in central government</w:t>
      </w:r>
      <w:r w:rsidR="006C2855">
        <w:rPr>
          <w:sz w:val="24"/>
          <w:szCs w:val="24"/>
        </w:rPr>
        <w:t>.</w:t>
      </w:r>
      <w:r w:rsidRPr="00ED6210">
        <w:rPr>
          <w:sz w:val="24"/>
          <w:szCs w:val="24"/>
        </w:rPr>
        <w:t xml:space="preserve"> </w:t>
      </w:r>
    </w:p>
    <w:p w:rsidR="006B2357" w:rsidRDefault="006B2357" w:rsidP="00DB30F1">
      <w:pPr>
        <w:pStyle w:val="ListParagraph"/>
        <w:spacing w:after="0" w:line="240" w:lineRule="auto"/>
        <w:ind w:left="851"/>
        <w:jc w:val="both"/>
        <w:rPr>
          <w:sz w:val="24"/>
          <w:szCs w:val="24"/>
        </w:rPr>
      </w:pPr>
    </w:p>
    <w:p w:rsidR="001C69F3" w:rsidRDefault="001C69F3" w:rsidP="00DB30F1">
      <w:pPr>
        <w:pStyle w:val="ListParagraph"/>
        <w:spacing w:after="0" w:line="240" w:lineRule="auto"/>
        <w:ind w:left="851"/>
        <w:jc w:val="both"/>
        <w:rPr>
          <w:sz w:val="24"/>
          <w:szCs w:val="24"/>
        </w:rPr>
      </w:pPr>
    </w:p>
    <w:p w:rsidR="001C69F3" w:rsidRDefault="001C69F3" w:rsidP="00DB30F1">
      <w:pPr>
        <w:pStyle w:val="ListParagraph"/>
        <w:spacing w:after="0" w:line="240" w:lineRule="auto"/>
        <w:ind w:left="851"/>
        <w:jc w:val="both"/>
        <w:rPr>
          <w:sz w:val="24"/>
          <w:szCs w:val="24"/>
        </w:rPr>
      </w:pPr>
    </w:p>
    <w:p w:rsidR="001C69F3" w:rsidRDefault="001C69F3" w:rsidP="00DB30F1">
      <w:pPr>
        <w:pStyle w:val="ListParagraph"/>
        <w:spacing w:after="0" w:line="240" w:lineRule="auto"/>
        <w:ind w:left="851"/>
        <w:jc w:val="both"/>
        <w:rPr>
          <w:sz w:val="24"/>
          <w:szCs w:val="24"/>
        </w:rPr>
      </w:pPr>
    </w:p>
    <w:p w:rsidR="001C69F3" w:rsidRDefault="001C69F3" w:rsidP="00DB30F1">
      <w:pPr>
        <w:pStyle w:val="ListParagraph"/>
        <w:spacing w:after="0" w:line="240" w:lineRule="auto"/>
        <w:ind w:left="851"/>
        <w:jc w:val="both"/>
        <w:rPr>
          <w:sz w:val="24"/>
          <w:szCs w:val="24"/>
        </w:rPr>
      </w:pPr>
    </w:p>
    <w:p w:rsidR="001C69F3" w:rsidRDefault="001C69F3" w:rsidP="00DB30F1">
      <w:pPr>
        <w:pStyle w:val="ListParagraph"/>
        <w:spacing w:after="0" w:line="240" w:lineRule="auto"/>
        <w:ind w:left="851"/>
        <w:jc w:val="both"/>
        <w:rPr>
          <w:sz w:val="24"/>
          <w:szCs w:val="24"/>
        </w:rPr>
      </w:pPr>
    </w:p>
    <w:p w:rsidR="001C69F3" w:rsidRDefault="001C69F3" w:rsidP="00DB30F1">
      <w:pPr>
        <w:pStyle w:val="ListParagraph"/>
        <w:spacing w:after="0" w:line="240" w:lineRule="auto"/>
        <w:ind w:left="851"/>
        <w:jc w:val="both"/>
        <w:rPr>
          <w:sz w:val="24"/>
          <w:szCs w:val="24"/>
        </w:rPr>
      </w:pPr>
    </w:p>
    <w:p w:rsidR="001C69F3" w:rsidRDefault="001C69F3" w:rsidP="00DB30F1">
      <w:pPr>
        <w:pStyle w:val="ListParagraph"/>
        <w:spacing w:after="0" w:line="240" w:lineRule="auto"/>
        <w:ind w:left="851"/>
        <w:jc w:val="both"/>
        <w:rPr>
          <w:sz w:val="24"/>
          <w:szCs w:val="24"/>
        </w:rPr>
      </w:pPr>
    </w:p>
    <w:p w:rsidR="001C69F3" w:rsidRDefault="001C69F3" w:rsidP="00DB30F1">
      <w:pPr>
        <w:pStyle w:val="ListParagraph"/>
        <w:spacing w:after="0" w:line="240" w:lineRule="auto"/>
        <w:ind w:left="851"/>
        <w:jc w:val="both"/>
        <w:rPr>
          <w:sz w:val="24"/>
          <w:szCs w:val="24"/>
        </w:rPr>
      </w:pPr>
    </w:p>
    <w:p w:rsidR="001C69F3" w:rsidRDefault="001C69F3" w:rsidP="00DB30F1">
      <w:pPr>
        <w:pStyle w:val="ListParagraph"/>
        <w:spacing w:after="0" w:line="240" w:lineRule="auto"/>
        <w:ind w:left="851"/>
        <w:jc w:val="both"/>
        <w:rPr>
          <w:sz w:val="24"/>
          <w:szCs w:val="24"/>
        </w:rPr>
      </w:pPr>
    </w:p>
    <w:p w:rsidR="001C69F3" w:rsidRDefault="001C69F3" w:rsidP="00DB30F1">
      <w:pPr>
        <w:pStyle w:val="ListParagraph"/>
        <w:spacing w:after="0" w:line="240" w:lineRule="auto"/>
        <w:ind w:left="851"/>
        <w:jc w:val="both"/>
        <w:rPr>
          <w:sz w:val="24"/>
          <w:szCs w:val="24"/>
        </w:rPr>
      </w:pPr>
    </w:p>
    <w:p w:rsidR="00A84846" w:rsidRDefault="00A84846" w:rsidP="003E4FC2">
      <w:pPr>
        <w:spacing w:after="0" w:line="240" w:lineRule="auto"/>
        <w:ind w:left="425"/>
        <w:jc w:val="both"/>
        <w:rPr>
          <w:sz w:val="24"/>
          <w:szCs w:val="24"/>
        </w:rPr>
      </w:pPr>
    </w:p>
    <w:p w:rsidR="00A84846" w:rsidRDefault="008574D3" w:rsidP="00A84846">
      <w:pPr>
        <w:spacing w:after="0" w:line="240" w:lineRule="auto"/>
        <w:ind w:left="720" w:firstLine="720"/>
        <w:jc w:val="both"/>
        <w:rPr>
          <w:b/>
          <w:sz w:val="20"/>
          <w:szCs w:val="20"/>
        </w:rPr>
      </w:pPr>
      <w:r>
        <w:rPr>
          <w:b/>
          <w:sz w:val="20"/>
          <w:szCs w:val="20"/>
        </w:rPr>
        <w:lastRenderedPageBreak/>
        <w:t>Figure 1.3</w:t>
      </w:r>
      <w:r w:rsidR="00A84846" w:rsidRPr="00F169F9">
        <w:rPr>
          <w:b/>
          <w:sz w:val="20"/>
          <w:szCs w:val="20"/>
        </w:rPr>
        <w:t xml:space="preserve">: </w:t>
      </w:r>
      <w:r w:rsidR="00A84846">
        <w:rPr>
          <w:b/>
          <w:sz w:val="20"/>
          <w:szCs w:val="20"/>
        </w:rPr>
        <w:tab/>
      </w:r>
      <w:r w:rsidR="00A84846" w:rsidRPr="00F169F9">
        <w:rPr>
          <w:b/>
          <w:sz w:val="20"/>
          <w:szCs w:val="20"/>
        </w:rPr>
        <w:t xml:space="preserve">Percentage </w:t>
      </w:r>
      <w:r w:rsidR="00A84846">
        <w:rPr>
          <w:b/>
          <w:sz w:val="20"/>
          <w:szCs w:val="20"/>
        </w:rPr>
        <w:t>Increase</w:t>
      </w:r>
      <w:r w:rsidR="00A84846" w:rsidRPr="00F169F9">
        <w:rPr>
          <w:b/>
          <w:sz w:val="20"/>
          <w:szCs w:val="20"/>
        </w:rPr>
        <w:t xml:space="preserve"> in Number of Civil Servants/Public Servants </w:t>
      </w:r>
    </w:p>
    <w:p w:rsidR="00A84846" w:rsidRDefault="00A84846" w:rsidP="00A84846">
      <w:pPr>
        <w:spacing w:after="0" w:line="240" w:lineRule="auto"/>
        <w:ind w:left="2160" w:firstLine="720"/>
        <w:jc w:val="both"/>
        <w:rPr>
          <w:b/>
          <w:sz w:val="20"/>
          <w:szCs w:val="20"/>
        </w:rPr>
      </w:pPr>
      <w:proofErr w:type="gramStart"/>
      <w:r w:rsidRPr="00F169F9">
        <w:rPr>
          <w:b/>
          <w:sz w:val="20"/>
          <w:szCs w:val="20"/>
        </w:rPr>
        <w:t>across</w:t>
      </w:r>
      <w:proofErr w:type="gramEnd"/>
      <w:r w:rsidRPr="00F169F9">
        <w:rPr>
          <w:b/>
          <w:sz w:val="20"/>
          <w:szCs w:val="20"/>
        </w:rPr>
        <w:t xml:space="preserve"> Member States</w:t>
      </w:r>
      <w:r>
        <w:rPr>
          <w:b/>
          <w:sz w:val="20"/>
          <w:szCs w:val="20"/>
        </w:rPr>
        <w:t xml:space="preserve"> – 2012</w:t>
      </w:r>
      <w:r w:rsidRPr="00F169F9">
        <w:rPr>
          <w:b/>
          <w:sz w:val="20"/>
          <w:szCs w:val="20"/>
        </w:rPr>
        <w:t xml:space="preserve"> vs. 2006</w:t>
      </w:r>
    </w:p>
    <w:p w:rsidR="00EB00F9" w:rsidRDefault="00EB00F9" w:rsidP="00A84846">
      <w:pPr>
        <w:spacing w:after="0" w:line="240" w:lineRule="auto"/>
        <w:ind w:left="2160" w:firstLine="720"/>
        <w:jc w:val="both"/>
        <w:rPr>
          <w:b/>
          <w:sz w:val="20"/>
          <w:szCs w:val="20"/>
        </w:rPr>
      </w:pPr>
    </w:p>
    <w:p w:rsidR="00647B4F" w:rsidRDefault="00E2727A" w:rsidP="003E4FC2">
      <w:pPr>
        <w:spacing w:after="0" w:line="240" w:lineRule="auto"/>
        <w:ind w:left="851"/>
        <w:jc w:val="both"/>
        <w:rPr>
          <w:sz w:val="24"/>
          <w:szCs w:val="24"/>
        </w:rPr>
      </w:pPr>
      <w:r>
        <w:rPr>
          <w:noProof/>
          <w:sz w:val="24"/>
          <w:szCs w:val="24"/>
          <w:lang w:val="en-US"/>
        </w:rPr>
        <w:drawing>
          <wp:inline distT="0" distB="0" distL="0" distR="0" wp14:anchorId="1D719555" wp14:editId="297AA390">
            <wp:extent cx="4886325" cy="2781300"/>
            <wp:effectExtent l="0" t="0" r="0" b="0"/>
            <wp:docPr id="4"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47B4F" w:rsidRDefault="00647B4F" w:rsidP="003E4FC2">
      <w:pPr>
        <w:spacing w:after="0" w:line="240" w:lineRule="auto"/>
        <w:ind w:left="851"/>
        <w:jc w:val="both"/>
        <w:rPr>
          <w:sz w:val="24"/>
          <w:szCs w:val="24"/>
        </w:rPr>
      </w:pPr>
    </w:p>
    <w:p w:rsidR="004549B0" w:rsidRDefault="00A84846" w:rsidP="003E4FC2">
      <w:pPr>
        <w:spacing w:after="0" w:line="240" w:lineRule="auto"/>
        <w:ind w:left="851"/>
        <w:jc w:val="both"/>
        <w:rPr>
          <w:sz w:val="24"/>
          <w:szCs w:val="24"/>
        </w:rPr>
      </w:pPr>
      <w:r>
        <w:rPr>
          <w:sz w:val="24"/>
          <w:szCs w:val="24"/>
        </w:rPr>
        <w:t xml:space="preserve">Ten </w:t>
      </w:r>
      <w:r w:rsidR="001074E8">
        <w:rPr>
          <w:sz w:val="24"/>
          <w:szCs w:val="24"/>
        </w:rPr>
        <w:t xml:space="preserve">Member States </w:t>
      </w:r>
      <w:r w:rsidR="001074E8" w:rsidRPr="006C2855">
        <w:rPr>
          <w:sz w:val="24"/>
          <w:szCs w:val="24"/>
        </w:rPr>
        <w:t>(</w:t>
      </w:r>
      <w:r w:rsidR="00A662B7" w:rsidRPr="00A662B7">
        <w:rPr>
          <w:b/>
          <w:sz w:val="24"/>
          <w:szCs w:val="24"/>
        </w:rPr>
        <w:t>Bulgaria,</w:t>
      </w:r>
      <w:r w:rsidR="00A662B7">
        <w:rPr>
          <w:sz w:val="24"/>
          <w:szCs w:val="24"/>
        </w:rPr>
        <w:t xml:space="preserve"> </w:t>
      </w:r>
      <w:r w:rsidR="001074E8" w:rsidRPr="001074E8">
        <w:rPr>
          <w:b/>
          <w:sz w:val="24"/>
          <w:szCs w:val="24"/>
        </w:rPr>
        <w:t xml:space="preserve">Denmark, </w:t>
      </w:r>
      <w:r w:rsidR="00A662B7">
        <w:rPr>
          <w:b/>
          <w:sz w:val="24"/>
          <w:szCs w:val="24"/>
        </w:rPr>
        <w:t xml:space="preserve">Greece, Lithuania, </w:t>
      </w:r>
      <w:r w:rsidR="001074E8" w:rsidRPr="001074E8">
        <w:rPr>
          <w:b/>
          <w:sz w:val="24"/>
          <w:szCs w:val="24"/>
        </w:rPr>
        <w:t>Luxembourg,</w:t>
      </w:r>
      <w:r w:rsidR="00A662B7">
        <w:rPr>
          <w:b/>
          <w:sz w:val="24"/>
          <w:szCs w:val="24"/>
        </w:rPr>
        <w:t xml:space="preserve"> </w:t>
      </w:r>
      <w:r w:rsidR="008E74CE">
        <w:rPr>
          <w:b/>
          <w:sz w:val="24"/>
          <w:szCs w:val="24"/>
        </w:rPr>
        <w:t>t</w:t>
      </w:r>
      <w:r w:rsidR="00CD07C1" w:rsidRPr="001074E8">
        <w:rPr>
          <w:b/>
          <w:sz w:val="24"/>
          <w:szCs w:val="24"/>
        </w:rPr>
        <w:t>he Netherlands</w:t>
      </w:r>
      <w:r w:rsidR="00CD07C1">
        <w:rPr>
          <w:b/>
          <w:sz w:val="24"/>
          <w:szCs w:val="24"/>
        </w:rPr>
        <w:t xml:space="preserve">, </w:t>
      </w:r>
      <w:r w:rsidR="00A662B7">
        <w:rPr>
          <w:b/>
          <w:sz w:val="24"/>
          <w:szCs w:val="24"/>
        </w:rPr>
        <w:t xml:space="preserve">Poland, Romania, Spain, </w:t>
      </w:r>
      <w:r w:rsidR="006A7BE6">
        <w:rPr>
          <w:b/>
          <w:sz w:val="24"/>
          <w:szCs w:val="24"/>
        </w:rPr>
        <w:t xml:space="preserve">and </w:t>
      </w:r>
      <w:r w:rsidR="00CD07C1">
        <w:rPr>
          <w:b/>
          <w:sz w:val="24"/>
          <w:szCs w:val="24"/>
        </w:rPr>
        <w:t>Sweden</w:t>
      </w:r>
      <w:r w:rsidR="001074E8">
        <w:rPr>
          <w:sz w:val="24"/>
          <w:szCs w:val="24"/>
        </w:rPr>
        <w:t xml:space="preserve">) reported an increase in the number of civil </w:t>
      </w:r>
      <w:r w:rsidR="001074E8" w:rsidRPr="00291391">
        <w:rPr>
          <w:sz w:val="24"/>
          <w:szCs w:val="24"/>
        </w:rPr>
        <w:t>servants/public servants since 2006</w:t>
      </w:r>
      <w:r w:rsidR="004549B0">
        <w:rPr>
          <w:sz w:val="24"/>
          <w:szCs w:val="24"/>
        </w:rPr>
        <w:t>.</w:t>
      </w:r>
      <w:r w:rsidR="001074E8" w:rsidRPr="00291391">
        <w:rPr>
          <w:sz w:val="24"/>
          <w:szCs w:val="24"/>
        </w:rPr>
        <w:t xml:space="preserve"> </w:t>
      </w:r>
    </w:p>
    <w:p w:rsidR="000820C4" w:rsidRDefault="000820C4" w:rsidP="003E4FC2">
      <w:pPr>
        <w:spacing w:after="0" w:line="240" w:lineRule="auto"/>
        <w:ind w:left="1211"/>
        <w:jc w:val="both"/>
        <w:rPr>
          <w:sz w:val="24"/>
          <w:szCs w:val="24"/>
        </w:rPr>
      </w:pPr>
    </w:p>
    <w:p w:rsidR="007B5A93" w:rsidRPr="006F6242" w:rsidRDefault="009C02B6" w:rsidP="003E4FC2">
      <w:pPr>
        <w:spacing w:after="0" w:line="240" w:lineRule="auto"/>
        <w:ind w:left="1211"/>
        <w:jc w:val="both"/>
        <w:rPr>
          <w:sz w:val="24"/>
          <w:szCs w:val="24"/>
        </w:rPr>
      </w:pPr>
      <w:r w:rsidRPr="006F6242">
        <w:rPr>
          <w:sz w:val="24"/>
          <w:szCs w:val="24"/>
        </w:rPr>
        <w:t xml:space="preserve">In </w:t>
      </w:r>
      <w:r w:rsidR="009C26ED" w:rsidRPr="006F6242">
        <w:rPr>
          <w:b/>
          <w:sz w:val="24"/>
          <w:szCs w:val="24"/>
        </w:rPr>
        <w:t>Bulgaria</w:t>
      </w:r>
      <w:r w:rsidRPr="006F6242">
        <w:rPr>
          <w:sz w:val="24"/>
          <w:szCs w:val="24"/>
        </w:rPr>
        <w:t>,</w:t>
      </w:r>
      <w:r w:rsidR="00B57C1C" w:rsidRPr="006F6242">
        <w:rPr>
          <w:sz w:val="24"/>
          <w:szCs w:val="24"/>
        </w:rPr>
        <w:t xml:space="preserve"> </w:t>
      </w:r>
      <w:r w:rsidR="009C26ED" w:rsidRPr="006F6242">
        <w:rPr>
          <w:sz w:val="24"/>
          <w:szCs w:val="24"/>
        </w:rPr>
        <w:t xml:space="preserve">the </w:t>
      </w:r>
      <w:r w:rsidR="0019124C" w:rsidRPr="006F6242">
        <w:rPr>
          <w:sz w:val="24"/>
          <w:szCs w:val="24"/>
        </w:rPr>
        <w:t>increase was</w:t>
      </w:r>
      <w:r w:rsidRPr="006F6242">
        <w:rPr>
          <w:sz w:val="24"/>
          <w:szCs w:val="24"/>
        </w:rPr>
        <w:t xml:space="preserve"> </w:t>
      </w:r>
      <w:r w:rsidR="009C26ED" w:rsidRPr="006F6242">
        <w:rPr>
          <w:sz w:val="24"/>
          <w:szCs w:val="24"/>
        </w:rPr>
        <w:t xml:space="preserve">due to </w:t>
      </w:r>
      <w:r w:rsidR="00B57C1C" w:rsidRPr="006F6242">
        <w:rPr>
          <w:sz w:val="24"/>
          <w:szCs w:val="24"/>
        </w:rPr>
        <w:t xml:space="preserve">major </w:t>
      </w:r>
      <w:r w:rsidR="0019124C" w:rsidRPr="006F6242">
        <w:rPr>
          <w:sz w:val="24"/>
          <w:szCs w:val="24"/>
        </w:rPr>
        <w:t>restructuring involving</w:t>
      </w:r>
      <w:r w:rsidRPr="006F6242">
        <w:rPr>
          <w:sz w:val="24"/>
          <w:szCs w:val="24"/>
        </w:rPr>
        <w:t xml:space="preserve"> the inclusion of </w:t>
      </w:r>
      <w:r w:rsidR="006B2357">
        <w:rPr>
          <w:sz w:val="24"/>
          <w:szCs w:val="24"/>
        </w:rPr>
        <w:t>11 new structures</w:t>
      </w:r>
      <w:r w:rsidR="009C26ED" w:rsidRPr="006F6242">
        <w:rPr>
          <w:sz w:val="24"/>
          <w:szCs w:val="24"/>
        </w:rPr>
        <w:t xml:space="preserve"> </w:t>
      </w:r>
      <w:r w:rsidRPr="006F6242">
        <w:rPr>
          <w:sz w:val="24"/>
          <w:szCs w:val="24"/>
        </w:rPr>
        <w:t xml:space="preserve">within </w:t>
      </w:r>
      <w:r w:rsidR="006B2357">
        <w:rPr>
          <w:sz w:val="24"/>
          <w:szCs w:val="24"/>
        </w:rPr>
        <w:t>the scope of the S</w:t>
      </w:r>
      <w:r w:rsidR="009C26ED" w:rsidRPr="006F6242">
        <w:rPr>
          <w:sz w:val="24"/>
          <w:szCs w:val="24"/>
        </w:rPr>
        <w:t>tate administration.</w:t>
      </w:r>
    </w:p>
    <w:p w:rsidR="0093053D" w:rsidRPr="006F6242" w:rsidRDefault="009C26ED" w:rsidP="003E4FC2">
      <w:pPr>
        <w:spacing w:after="0" w:line="240" w:lineRule="auto"/>
        <w:ind w:left="1211"/>
        <w:jc w:val="both"/>
        <w:rPr>
          <w:sz w:val="24"/>
          <w:szCs w:val="24"/>
        </w:rPr>
      </w:pPr>
      <w:r w:rsidRPr="006F6242">
        <w:rPr>
          <w:sz w:val="24"/>
          <w:szCs w:val="24"/>
        </w:rPr>
        <w:t xml:space="preserve"> </w:t>
      </w:r>
    </w:p>
    <w:p w:rsidR="00AF7857" w:rsidRPr="006F6242" w:rsidRDefault="007B5A93" w:rsidP="003E4FC2">
      <w:pPr>
        <w:spacing w:after="0" w:line="240" w:lineRule="auto"/>
        <w:ind w:left="1211"/>
        <w:jc w:val="both"/>
        <w:rPr>
          <w:sz w:val="24"/>
          <w:szCs w:val="24"/>
        </w:rPr>
      </w:pPr>
      <w:r w:rsidRPr="00F0167C">
        <w:rPr>
          <w:sz w:val="24"/>
          <w:szCs w:val="24"/>
        </w:rPr>
        <w:t xml:space="preserve">In </w:t>
      </w:r>
      <w:r w:rsidR="00893091" w:rsidRPr="006F6242">
        <w:rPr>
          <w:b/>
          <w:sz w:val="24"/>
          <w:szCs w:val="24"/>
        </w:rPr>
        <w:t>G</w:t>
      </w:r>
      <w:r w:rsidR="0093053D" w:rsidRPr="006F6242">
        <w:rPr>
          <w:b/>
          <w:sz w:val="24"/>
          <w:szCs w:val="24"/>
        </w:rPr>
        <w:t>reece</w:t>
      </w:r>
      <w:r w:rsidR="00B57C1C" w:rsidRPr="006F6242">
        <w:rPr>
          <w:sz w:val="24"/>
          <w:szCs w:val="24"/>
        </w:rPr>
        <w:t xml:space="preserve"> and </w:t>
      </w:r>
      <w:r w:rsidR="0093053D" w:rsidRPr="006F6242">
        <w:rPr>
          <w:b/>
          <w:sz w:val="24"/>
          <w:szCs w:val="24"/>
        </w:rPr>
        <w:t>Romania</w:t>
      </w:r>
      <w:r w:rsidR="00893091" w:rsidRPr="006F6242">
        <w:rPr>
          <w:b/>
          <w:sz w:val="24"/>
          <w:szCs w:val="24"/>
        </w:rPr>
        <w:t xml:space="preserve"> </w:t>
      </w:r>
      <w:r w:rsidR="00893091" w:rsidRPr="006F6242">
        <w:rPr>
          <w:sz w:val="24"/>
          <w:szCs w:val="24"/>
        </w:rPr>
        <w:t>the figure</w:t>
      </w:r>
      <w:r w:rsidR="006B2357">
        <w:rPr>
          <w:sz w:val="24"/>
          <w:szCs w:val="24"/>
        </w:rPr>
        <w:t>s</w:t>
      </w:r>
      <w:r w:rsidR="00893091" w:rsidRPr="006F6242">
        <w:rPr>
          <w:sz w:val="24"/>
          <w:szCs w:val="24"/>
        </w:rPr>
        <w:t xml:space="preserve"> supplied for the 2013 </w:t>
      </w:r>
      <w:r w:rsidR="00C51993">
        <w:rPr>
          <w:sz w:val="24"/>
          <w:szCs w:val="24"/>
        </w:rPr>
        <w:t>Survey</w:t>
      </w:r>
      <w:r w:rsidR="00893091" w:rsidRPr="006F6242">
        <w:rPr>
          <w:sz w:val="24"/>
          <w:szCs w:val="24"/>
        </w:rPr>
        <w:t xml:space="preserve"> include</w:t>
      </w:r>
      <w:r w:rsidR="008141A0">
        <w:rPr>
          <w:sz w:val="24"/>
          <w:szCs w:val="24"/>
        </w:rPr>
        <w:t>d</w:t>
      </w:r>
      <w:r w:rsidR="00893091" w:rsidRPr="006F6242">
        <w:rPr>
          <w:sz w:val="24"/>
          <w:szCs w:val="24"/>
        </w:rPr>
        <w:t xml:space="preserve"> categories of employee which </w:t>
      </w:r>
      <w:r w:rsidR="009F793D" w:rsidRPr="006F6242">
        <w:rPr>
          <w:sz w:val="24"/>
          <w:szCs w:val="24"/>
        </w:rPr>
        <w:t xml:space="preserve">were </w:t>
      </w:r>
      <w:r w:rsidR="00893091" w:rsidRPr="006F6242">
        <w:rPr>
          <w:sz w:val="24"/>
          <w:szCs w:val="24"/>
        </w:rPr>
        <w:t xml:space="preserve">not </w:t>
      </w:r>
      <w:r w:rsidR="006014CD" w:rsidRPr="006F6242">
        <w:rPr>
          <w:sz w:val="24"/>
          <w:szCs w:val="24"/>
        </w:rPr>
        <w:t xml:space="preserve">previously </w:t>
      </w:r>
      <w:r w:rsidR="00893091" w:rsidRPr="006F6242">
        <w:rPr>
          <w:sz w:val="24"/>
          <w:szCs w:val="24"/>
        </w:rPr>
        <w:t xml:space="preserve">included in the figure supplied for the 2006 </w:t>
      </w:r>
      <w:r w:rsidR="00C51993">
        <w:rPr>
          <w:sz w:val="24"/>
          <w:szCs w:val="24"/>
        </w:rPr>
        <w:t>Survey</w:t>
      </w:r>
      <w:r w:rsidR="00893091" w:rsidRPr="006F6242">
        <w:rPr>
          <w:sz w:val="24"/>
          <w:szCs w:val="24"/>
        </w:rPr>
        <w:t>.</w:t>
      </w:r>
      <w:r w:rsidR="000E3E3E" w:rsidRPr="006F6242">
        <w:rPr>
          <w:sz w:val="24"/>
          <w:szCs w:val="24"/>
        </w:rPr>
        <w:t xml:space="preserve"> </w:t>
      </w:r>
      <w:r w:rsidR="0021246A" w:rsidRPr="006F6242">
        <w:rPr>
          <w:sz w:val="24"/>
          <w:szCs w:val="24"/>
        </w:rPr>
        <w:t xml:space="preserve">It should be </w:t>
      </w:r>
      <w:r w:rsidR="0019124C" w:rsidRPr="006F6242">
        <w:rPr>
          <w:sz w:val="24"/>
          <w:szCs w:val="24"/>
        </w:rPr>
        <w:t>noted however</w:t>
      </w:r>
      <w:r w:rsidR="0021246A" w:rsidRPr="006F6242">
        <w:rPr>
          <w:sz w:val="24"/>
          <w:szCs w:val="24"/>
        </w:rPr>
        <w:t xml:space="preserve"> that s</w:t>
      </w:r>
      <w:r w:rsidR="00AF7857" w:rsidRPr="006F6242">
        <w:rPr>
          <w:sz w:val="24"/>
          <w:szCs w:val="24"/>
        </w:rPr>
        <w:t>ince 2010, roughly 15,000-20,000 public servants retire each year from the Greek public service</w:t>
      </w:r>
      <w:r w:rsidR="000E3E3E" w:rsidRPr="006F6242">
        <w:rPr>
          <w:sz w:val="24"/>
          <w:szCs w:val="24"/>
        </w:rPr>
        <w:t xml:space="preserve"> </w:t>
      </w:r>
    </w:p>
    <w:p w:rsidR="00217BE8" w:rsidRDefault="00217BE8" w:rsidP="003E4FC2">
      <w:pPr>
        <w:spacing w:after="0" w:line="240" w:lineRule="auto"/>
        <w:ind w:left="1211"/>
        <w:jc w:val="both"/>
        <w:rPr>
          <w:sz w:val="24"/>
          <w:szCs w:val="24"/>
        </w:rPr>
      </w:pPr>
    </w:p>
    <w:p w:rsidR="00133BB6" w:rsidRPr="006F6242" w:rsidRDefault="0021246A" w:rsidP="003E4FC2">
      <w:pPr>
        <w:spacing w:after="0" w:line="240" w:lineRule="auto"/>
        <w:ind w:left="1211"/>
        <w:jc w:val="both"/>
        <w:rPr>
          <w:sz w:val="24"/>
          <w:szCs w:val="24"/>
        </w:rPr>
      </w:pPr>
      <w:r w:rsidRPr="006F6242">
        <w:rPr>
          <w:sz w:val="24"/>
          <w:szCs w:val="24"/>
        </w:rPr>
        <w:t xml:space="preserve">In </w:t>
      </w:r>
      <w:r w:rsidR="00133BB6" w:rsidRPr="006F6242">
        <w:rPr>
          <w:b/>
          <w:sz w:val="24"/>
          <w:szCs w:val="24"/>
        </w:rPr>
        <w:t>Latvia</w:t>
      </w:r>
      <w:r w:rsidR="00133BB6" w:rsidRPr="006F6242">
        <w:rPr>
          <w:sz w:val="24"/>
          <w:szCs w:val="24"/>
        </w:rPr>
        <w:t xml:space="preserve"> and </w:t>
      </w:r>
      <w:r w:rsidR="00133BB6" w:rsidRPr="006F6242">
        <w:rPr>
          <w:b/>
          <w:sz w:val="24"/>
          <w:szCs w:val="24"/>
        </w:rPr>
        <w:t>Spain</w:t>
      </w:r>
      <w:r w:rsidR="00133BB6" w:rsidRPr="006F6242">
        <w:rPr>
          <w:sz w:val="24"/>
          <w:szCs w:val="24"/>
        </w:rPr>
        <w:t xml:space="preserve"> there was a peak in the number of civil servants/public servants in 2006 and 2009 respectively.</w:t>
      </w:r>
    </w:p>
    <w:p w:rsidR="007B5A93" w:rsidRPr="006F6242" w:rsidRDefault="007B5A93" w:rsidP="003E4FC2">
      <w:pPr>
        <w:spacing w:after="0" w:line="240" w:lineRule="auto"/>
        <w:ind w:left="1211"/>
        <w:jc w:val="both"/>
        <w:rPr>
          <w:sz w:val="24"/>
          <w:szCs w:val="24"/>
        </w:rPr>
      </w:pPr>
    </w:p>
    <w:p w:rsidR="00AF7857" w:rsidRPr="00980EE6" w:rsidRDefault="006A6E54" w:rsidP="003E4FC2">
      <w:pPr>
        <w:spacing w:after="0" w:line="240" w:lineRule="auto"/>
        <w:ind w:left="851"/>
        <w:jc w:val="both"/>
        <w:rPr>
          <w:rFonts w:cs="Calibri"/>
          <w:sz w:val="24"/>
          <w:szCs w:val="24"/>
        </w:rPr>
      </w:pPr>
      <w:r>
        <w:rPr>
          <w:sz w:val="24"/>
          <w:szCs w:val="24"/>
        </w:rPr>
        <w:t>The n</w:t>
      </w:r>
      <w:r w:rsidR="00133BB6" w:rsidRPr="006F6242">
        <w:rPr>
          <w:sz w:val="24"/>
          <w:szCs w:val="24"/>
        </w:rPr>
        <w:t>ewer EU Member States</w:t>
      </w:r>
      <w:r>
        <w:rPr>
          <w:sz w:val="24"/>
          <w:szCs w:val="24"/>
        </w:rPr>
        <w:t xml:space="preserve"> ex</w:t>
      </w:r>
      <w:r w:rsidR="00133BB6" w:rsidRPr="006F6242">
        <w:rPr>
          <w:sz w:val="24"/>
          <w:szCs w:val="24"/>
        </w:rPr>
        <w:t>perienced</w:t>
      </w:r>
      <w:r w:rsidR="00893091" w:rsidRPr="006F6242">
        <w:rPr>
          <w:sz w:val="24"/>
          <w:szCs w:val="24"/>
        </w:rPr>
        <w:t xml:space="preserve"> </w:t>
      </w:r>
      <w:r w:rsidR="00133BB6" w:rsidRPr="006F6242">
        <w:rPr>
          <w:sz w:val="24"/>
          <w:szCs w:val="24"/>
        </w:rPr>
        <w:t xml:space="preserve">a similar peak and noted specifically </w:t>
      </w:r>
      <w:r w:rsidR="00893091" w:rsidRPr="006F6242">
        <w:rPr>
          <w:sz w:val="24"/>
          <w:szCs w:val="24"/>
        </w:rPr>
        <w:t xml:space="preserve">that </w:t>
      </w:r>
      <w:r w:rsidR="00133BB6" w:rsidRPr="006F6242">
        <w:rPr>
          <w:sz w:val="24"/>
          <w:szCs w:val="24"/>
        </w:rPr>
        <w:t xml:space="preserve">this was necessary to meet the requirements of </w:t>
      </w:r>
      <w:r w:rsidR="00893091" w:rsidRPr="006F6242">
        <w:rPr>
          <w:sz w:val="24"/>
          <w:szCs w:val="24"/>
        </w:rPr>
        <w:t>EU Membership</w:t>
      </w:r>
      <w:r w:rsidR="0021246A" w:rsidRPr="006F6242">
        <w:rPr>
          <w:sz w:val="24"/>
          <w:szCs w:val="24"/>
        </w:rPr>
        <w:t>.</w:t>
      </w:r>
      <w:r w:rsidR="00082316" w:rsidRPr="006F6242">
        <w:rPr>
          <w:sz w:val="24"/>
          <w:szCs w:val="24"/>
        </w:rPr>
        <w:t xml:space="preserve"> There was an increase</w:t>
      </w:r>
      <w:r>
        <w:rPr>
          <w:sz w:val="24"/>
          <w:szCs w:val="24"/>
        </w:rPr>
        <w:t xml:space="preserve">, for example, </w:t>
      </w:r>
      <w:r w:rsidR="00082316" w:rsidRPr="006F6242">
        <w:rPr>
          <w:sz w:val="24"/>
          <w:szCs w:val="24"/>
        </w:rPr>
        <w:t xml:space="preserve">in </w:t>
      </w:r>
      <w:r w:rsidR="0019124C" w:rsidRPr="00980EE6">
        <w:rPr>
          <w:rFonts w:cs="Calibri"/>
          <w:b/>
          <w:iCs/>
          <w:color w:val="000000"/>
          <w:sz w:val="24"/>
          <w:szCs w:val="24"/>
          <w:lang w:val="en-US"/>
        </w:rPr>
        <w:t>Lithuania</w:t>
      </w:r>
      <w:r w:rsidR="00082316" w:rsidRPr="00980EE6">
        <w:rPr>
          <w:rFonts w:cs="Calibri"/>
          <w:b/>
          <w:iCs/>
          <w:color w:val="000000"/>
          <w:sz w:val="24"/>
          <w:szCs w:val="24"/>
          <w:lang w:val="en-US"/>
        </w:rPr>
        <w:t xml:space="preserve"> </w:t>
      </w:r>
      <w:r w:rsidR="00082316" w:rsidRPr="00980EE6">
        <w:rPr>
          <w:rFonts w:cs="Calibri"/>
          <w:iCs/>
          <w:color w:val="000000"/>
          <w:sz w:val="24"/>
          <w:szCs w:val="24"/>
          <w:lang w:val="en-US"/>
        </w:rPr>
        <w:t xml:space="preserve">in the number of civil servants in the period 2006 </w:t>
      </w:r>
      <w:r>
        <w:rPr>
          <w:rFonts w:cs="Calibri"/>
          <w:iCs/>
          <w:color w:val="000000"/>
          <w:sz w:val="24"/>
          <w:szCs w:val="24"/>
          <w:lang w:val="en-US"/>
        </w:rPr>
        <w:t>-</w:t>
      </w:r>
      <w:r w:rsidR="00082316" w:rsidRPr="00980EE6">
        <w:rPr>
          <w:rFonts w:cs="Calibri"/>
          <w:iCs/>
          <w:color w:val="000000"/>
          <w:sz w:val="24"/>
          <w:szCs w:val="24"/>
          <w:lang w:val="en-US"/>
        </w:rPr>
        <w:t xml:space="preserve"> 2008 in response to economic gr</w:t>
      </w:r>
      <w:r w:rsidR="00851221">
        <w:rPr>
          <w:rFonts w:cs="Calibri"/>
          <w:iCs/>
          <w:color w:val="000000"/>
          <w:sz w:val="24"/>
          <w:szCs w:val="24"/>
          <w:lang w:val="en-US"/>
        </w:rPr>
        <w:t>owth and European integration. However, in the p</w:t>
      </w:r>
      <w:r w:rsidR="00082316" w:rsidRPr="00980EE6">
        <w:rPr>
          <w:rFonts w:cs="Calibri"/>
          <w:iCs/>
          <w:color w:val="000000"/>
          <w:sz w:val="24"/>
          <w:szCs w:val="24"/>
          <w:lang w:val="en-US"/>
        </w:rPr>
        <w:t xml:space="preserve">eriod 2009 </w:t>
      </w:r>
      <w:r>
        <w:rPr>
          <w:rFonts w:cs="Calibri"/>
          <w:iCs/>
          <w:color w:val="000000"/>
          <w:sz w:val="24"/>
          <w:szCs w:val="24"/>
          <w:lang w:val="en-US"/>
        </w:rPr>
        <w:t xml:space="preserve">- </w:t>
      </w:r>
      <w:r w:rsidR="00082316" w:rsidRPr="00980EE6">
        <w:rPr>
          <w:rFonts w:cs="Calibri"/>
          <w:iCs/>
          <w:color w:val="000000"/>
          <w:sz w:val="24"/>
          <w:szCs w:val="24"/>
          <w:lang w:val="en-US"/>
        </w:rPr>
        <w:t>2012</w:t>
      </w:r>
      <w:r w:rsidR="0019124C">
        <w:rPr>
          <w:rFonts w:cs="Calibri"/>
          <w:iCs/>
          <w:color w:val="000000"/>
          <w:sz w:val="24"/>
          <w:szCs w:val="24"/>
          <w:lang w:val="en-US"/>
        </w:rPr>
        <w:t>,</w:t>
      </w:r>
      <w:r w:rsidR="00082316" w:rsidRPr="00980EE6">
        <w:rPr>
          <w:rFonts w:cs="Calibri"/>
          <w:iCs/>
          <w:color w:val="000000"/>
          <w:sz w:val="24"/>
          <w:szCs w:val="24"/>
          <w:lang w:val="en-US"/>
        </w:rPr>
        <w:t xml:space="preserve"> </w:t>
      </w:r>
      <w:r w:rsidR="007B5A93" w:rsidRPr="0019124C">
        <w:rPr>
          <w:rFonts w:cs="Calibri"/>
          <w:b/>
          <w:iCs/>
          <w:color w:val="000000"/>
          <w:sz w:val="24"/>
          <w:szCs w:val="24"/>
          <w:lang w:val="en-US"/>
        </w:rPr>
        <w:t>Lithuania</w:t>
      </w:r>
      <w:r w:rsidR="007B5A93" w:rsidRPr="00980EE6">
        <w:rPr>
          <w:rFonts w:cs="Calibri"/>
          <w:iCs/>
          <w:color w:val="000000"/>
          <w:sz w:val="24"/>
          <w:szCs w:val="24"/>
          <w:lang w:val="en-US"/>
        </w:rPr>
        <w:t xml:space="preserve"> experienced </w:t>
      </w:r>
      <w:r w:rsidR="00082316" w:rsidRPr="00980EE6">
        <w:rPr>
          <w:rFonts w:cs="Calibri"/>
          <w:iCs/>
          <w:color w:val="000000"/>
          <w:sz w:val="24"/>
          <w:szCs w:val="24"/>
          <w:lang w:val="en-US"/>
        </w:rPr>
        <w:t xml:space="preserve">a 10% reduction in </w:t>
      </w:r>
      <w:r w:rsidR="00EB00F9">
        <w:rPr>
          <w:rFonts w:cs="Calibri"/>
          <w:iCs/>
          <w:color w:val="000000"/>
          <w:sz w:val="24"/>
          <w:szCs w:val="24"/>
          <w:lang w:val="en-US"/>
        </w:rPr>
        <w:t xml:space="preserve">the </w:t>
      </w:r>
      <w:r w:rsidR="00082316" w:rsidRPr="00980EE6">
        <w:rPr>
          <w:rFonts w:cs="Calibri"/>
          <w:iCs/>
          <w:color w:val="000000"/>
          <w:sz w:val="24"/>
          <w:szCs w:val="24"/>
          <w:lang w:val="en-US"/>
        </w:rPr>
        <w:t>public servants number</w:t>
      </w:r>
      <w:r>
        <w:rPr>
          <w:rFonts w:cs="Calibri"/>
          <w:iCs/>
          <w:color w:val="000000"/>
          <w:sz w:val="24"/>
          <w:szCs w:val="24"/>
          <w:lang w:val="en-US"/>
        </w:rPr>
        <w:t xml:space="preserve"> aside from </w:t>
      </w:r>
      <w:r w:rsidR="00082316" w:rsidRPr="00980EE6">
        <w:rPr>
          <w:rFonts w:cs="Calibri"/>
          <w:iCs/>
          <w:color w:val="000000"/>
          <w:sz w:val="24"/>
          <w:szCs w:val="24"/>
          <w:lang w:val="en-US"/>
        </w:rPr>
        <w:t xml:space="preserve">some </w:t>
      </w:r>
      <w:r w:rsidR="0019124C" w:rsidRPr="00980EE6">
        <w:rPr>
          <w:rFonts w:cs="Calibri"/>
          <w:iCs/>
          <w:color w:val="000000"/>
          <w:sz w:val="24"/>
          <w:szCs w:val="24"/>
          <w:lang w:val="en-US"/>
        </w:rPr>
        <w:t>limited temporary</w:t>
      </w:r>
      <w:r w:rsidR="00082316" w:rsidRPr="00980EE6">
        <w:rPr>
          <w:rFonts w:cs="Calibri"/>
          <w:iCs/>
          <w:color w:val="000000"/>
          <w:sz w:val="24"/>
          <w:szCs w:val="24"/>
          <w:lang w:val="en-US"/>
        </w:rPr>
        <w:t xml:space="preserve"> recruitment to cover EU Presidency commitments. </w:t>
      </w:r>
    </w:p>
    <w:p w:rsidR="00217BE8" w:rsidRDefault="00217BE8" w:rsidP="003E4FC2">
      <w:pPr>
        <w:spacing w:after="0" w:line="240" w:lineRule="auto"/>
        <w:ind w:left="851"/>
        <w:jc w:val="both"/>
        <w:rPr>
          <w:sz w:val="24"/>
          <w:szCs w:val="24"/>
        </w:rPr>
      </w:pPr>
    </w:p>
    <w:p w:rsidR="00C51993" w:rsidRDefault="005B0E84" w:rsidP="000820C4">
      <w:pPr>
        <w:spacing w:after="0" w:line="240" w:lineRule="auto"/>
        <w:ind w:left="851"/>
        <w:jc w:val="both"/>
        <w:rPr>
          <w:sz w:val="24"/>
          <w:szCs w:val="24"/>
        </w:rPr>
      </w:pPr>
      <w:r>
        <w:rPr>
          <w:sz w:val="24"/>
          <w:szCs w:val="24"/>
        </w:rPr>
        <w:t>Overall t</w:t>
      </w:r>
      <w:r w:rsidR="00082316">
        <w:rPr>
          <w:sz w:val="24"/>
          <w:szCs w:val="24"/>
        </w:rPr>
        <w:t xml:space="preserve">he </w:t>
      </w:r>
      <w:r w:rsidR="00851221">
        <w:rPr>
          <w:sz w:val="24"/>
          <w:szCs w:val="24"/>
        </w:rPr>
        <w:t xml:space="preserve">apparent increases since </w:t>
      </w:r>
      <w:r w:rsidR="0019124C" w:rsidRPr="00291391">
        <w:rPr>
          <w:sz w:val="24"/>
          <w:szCs w:val="24"/>
        </w:rPr>
        <w:t xml:space="preserve">2006 </w:t>
      </w:r>
      <w:r w:rsidR="0019124C">
        <w:rPr>
          <w:sz w:val="24"/>
          <w:szCs w:val="24"/>
        </w:rPr>
        <w:t>in</w:t>
      </w:r>
      <w:r w:rsidR="00082316">
        <w:rPr>
          <w:sz w:val="24"/>
          <w:szCs w:val="24"/>
        </w:rPr>
        <w:t xml:space="preserve"> </w:t>
      </w:r>
      <w:r w:rsidR="00851221">
        <w:rPr>
          <w:sz w:val="24"/>
          <w:szCs w:val="24"/>
        </w:rPr>
        <w:t>some</w:t>
      </w:r>
      <w:r w:rsidR="00082316">
        <w:rPr>
          <w:sz w:val="24"/>
          <w:szCs w:val="24"/>
        </w:rPr>
        <w:t xml:space="preserve"> </w:t>
      </w:r>
      <w:r w:rsidR="00893091" w:rsidRPr="00291391">
        <w:rPr>
          <w:sz w:val="24"/>
          <w:szCs w:val="24"/>
        </w:rPr>
        <w:t xml:space="preserve">Member States </w:t>
      </w:r>
      <w:r w:rsidR="0019124C">
        <w:rPr>
          <w:sz w:val="24"/>
          <w:szCs w:val="24"/>
        </w:rPr>
        <w:t xml:space="preserve">masks </w:t>
      </w:r>
      <w:r w:rsidR="00082316">
        <w:rPr>
          <w:sz w:val="24"/>
          <w:szCs w:val="24"/>
        </w:rPr>
        <w:t xml:space="preserve">the downward </w:t>
      </w:r>
      <w:r w:rsidR="00893091" w:rsidRPr="00291391">
        <w:rPr>
          <w:sz w:val="24"/>
          <w:szCs w:val="24"/>
        </w:rPr>
        <w:t>trend</w:t>
      </w:r>
      <w:r w:rsidR="00082316">
        <w:rPr>
          <w:sz w:val="24"/>
          <w:szCs w:val="24"/>
        </w:rPr>
        <w:t xml:space="preserve"> </w:t>
      </w:r>
      <w:r w:rsidR="0019124C">
        <w:rPr>
          <w:sz w:val="24"/>
          <w:szCs w:val="24"/>
        </w:rPr>
        <w:t>in civil</w:t>
      </w:r>
      <w:r w:rsidR="00082316">
        <w:rPr>
          <w:sz w:val="24"/>
          <w:szCs w:val="24"/>
        </w:rPr>
        <w:t xml:space="preserve"> servant/public servant </w:t>
      </w:r>
      <w:r w:rsidR="0019124C">
        <w:rPr>
          <w:sz w:val="24"/>
          <w:szCs w:val="24"/>
        </w:rPr>
        <w:t xml:space="preserve">numbers </w:t>
      </w:r>
      <w:r w:rsidR="004670A6">
        <w:rPr>
          <w:sz w:val="24"/>
          <w:szCs w:val="24"/>
        </w:rPr>
        <w:t>of</w:t>
      </w:r>
      <w:r w:rsidR="00291391" w:rsidRPr="00291391">
        <w:rPr>
          <w:sz w:val="24"/>
          <w:szCs w:val="24"/>
        </w:rPr>
        <w:t xml:space="preserve"> more recent years</w:t>
      </w:r>
      <w:r w:rsidR="00082316">
        <w:rPr>
          <w:sz w:val="24"/>
          <w:szCs w:val="24"/>
        </w:rPr>
        <w:t>.</w:t>
      </w:r>
      <w:r w:rsidR="00291391" w:rsidRPr="00291391">
        <w:rPr>
          <w:sz w:val="24"/>
          <w:szCs w:val="24"/>
        </w:rPr>
        <w:t xml:space="preserve"> </w:t>
      </w:r>
    </w:p>
    <w:p w:rsidR="00C51993" w:rsidRDefault="00C51993">
      <w:pPr>
        <w:spacing w:after="0" w:line="240" w:lineRule="auto"/>
        <w:rPr>
          <w:sz w:val="24"/>
          <w:szCs w:val="24"/>
        </w:rPr>
      </w:pPr>
      <w:r>
        <w:rPr>
          <w:sz w:val="24"/>
          <w:szCs w:val="24"/>
        </w:rPr>
        <w:br w:type="page"/>
      </w:r>
    </w:p>
    <w:p w:rsidR="00884A7C" w:rsidRPr="006F6242" w:rsidRDefault="00A84846" w:rsidP="00A84846">
      <w:pPr>
        <w:pStyle w:val="ListParagraph"/>
        <w:spacing w:after="0" w:line="240" w:lineRule="auto"/>
        <w:ind w:left="0"/>
        <w:jc w:val="both"/>
        <w:rPr>
          <w:b/>
          <w:sz w:val="24"/>
          <w:szCs w:val="24"/>
        </w:rPr>
      </w:pPr>
      <w:r>
        <w:rPr>
          <w:b/>
          <w:sz w:val="24"/>
          <w:szCs w:val="24"/>
        </w:rPr>
        <w:lastRenderedPageBreak/>
        <w:t xml:space="preserve">3. </w:t>
      </w:r>
      <w:r w:rsidR="00884A7C">
        <w:rPr>
          <w:b/>
          <w:sz w:val="24"/>
          <w:szCs w:val="24"/>
        </w:rPr>
        <w:t>NUMBER OF MINISTRIES</w:t>
      </w:r>
    </w:p>
    <w:p w:rsidR="00884A7C" w:rsidRPr="006F6242" w:rsidRDefault="00884A7C" w:rsidP="003E4FC2">
      <w:pPr>
        <w:spacing w:after="0" w:line="240" w:lineRule="auto"/>
        <w:jc w:val="both"/>
        <w:rPr>
          <w:b/>
          <w:sz w:val="24"/>
          <w:szCs w:val="24"/>
        </w:rPr>
      </w:pPr>
    </w:p>
    <w:p w:rsidR="00E248F3" w:rsidRPr="00A84846" w:rsidRDefault="00884A7C" w:rsidP="00A84846">
      <w:pPr>
        <w:pStyle w:val="ListParagraph"/>
        <w:spacing w:after="0" w:line="240" w:lineRule="auto"/>
        <w:ind w:left="0" w:firstLine="720"/>
        <w:jc w:val="both"/>
        <w:rPr>
          <w:b/>
          <w:sz w:val="20"/>
          <w:szCs w:val="20"/>
        </w:rPr>
      </w:pPr>
      <w:r w:rsidRPr="00A84846">
        <w:rPr>
          <w:b/>
          <w:sz w:val="20"/>
          <w:szCs w:val="20"/>
        </w:rPr>
        <w:t>Figure 1.</w:t>
      </w:r>
      <w:r w:rsidR="00307E3D" w:rsidRPr="00A84846">
        <w:rPr>
          <w:b/>
          <w:sz w:val="20"/>
          <w:szCs w:val="20"/>
        </w:rPr>
        <w:t>4</w:t>
      </w:r>
      <w:r w:rsidRPr="00A84846">
        <w:rPr>
          <w:b/>
          <w:sz w:val="20"/>
          <w:szCs w:val="20"/>
        </w:rPr>
        <w:t>:</w:t>
      </w:r>
      <w:r w:rsidRPr="00A84846">
        <w:rPr>
          <w:b/>
          <w:sz w:val="20"/>
          <w:szCs w:val="20"/>
        </w:rPr>
        <w:tab/>
      </w:r>
      <w:r w:rsidR="00E248F3" w:rsidRPr="00A84846">
        <w:rPr>
          <w:b/>
          <w:sz w:val="20"/>
          <w:szCs w:val="20"/>
        </w:rPr>
        <w:t>Number of Ministries</w:t>
      </w:r>
      <w:r w:rsidR="00A84846">
        <w:rPr>
          <w:b/>
          <w:sz w:val="20"/>
          <w:szCs w:val="20"/>
        </w:rPr>
        <w:t xml:space="preserve"> across Eupan Member States</w:t>
      </w:r>
      <w:r w:rsidR="00EB00F9">
        <w:rPr>
          <w:b/>
          <w:sz w:val="20"/>
          <w:szCs w:val="20"/>
        </w:rPr>
        <w:t xml:space="preserve"> –</w:t>
      </w:r>
      <w:r w:rsidR="00A84846">
        <w:rPr>
          <w:b/>
          <w:sz w:val="20"/>
          <w:szCs w:val="20"/>
        </w:rPr>
        <w:t xml:space="preserve"> 2012</w:t>
      </w:r>
      <w:r w:rsidR="007B5A93" w:rsidRPr="00A84846">
        <w:rPr>
          <w:b/>
          <w:sz w:val="20"/>
          <w:szCs w:val="20"/>
        </w:rPr>
        <w:t xml:space="preserve"> </w:t>
      </w:r>
      <w:r w:rsidRPr="00A84846">
        <w:rPr>
          <w:b/>
          <w:sz w:val="20"/>
          <w:szCs w:val="20"/>
        </w:rPr>
        <w:t>v</w:t>
      </w:r>
      <w:r w:rsidR="007B5A93" w:rsidRPr="00A84846">
        <w:rPr>
          <w:b/>
          <w:sz w:val="20"/>
          <w:szCs w:val="20"/>
        </w:rPr>
        <w:t xml:space="preserve"> </w:t>
      </w:r>
      <w:r w:rsidRPr="00A84846">
        <w:rPr>
          <w:b/>
          <w:sz w:val="20"/>
          <w:szCs w:val="20"/>
        </w:rPr>
        <w:t>2006</w:t>
      </w:r>
    </w:p>
    <w:p w:rsidR="00E248F3" w:rsidRPr="001A62CB" w:rsidRDefault="00E248F3" w:rsidP="003E4FC2">
      <w:pPr>
        <w:spacing w:after="0" w:line="240" w:lineRule="auto"/>
        <w:jc w:val="both"/>
        <w:rPr>
          <w:sz w:val="24"/>
          <w:szCs w:val="24"/>
        </w:rPr>
      </w:pPr>
    </w:p>
    <w:p w:rsidR="00456308" w:rsidRPr="001A62CB" w:rsidRDefault="00E2727A" w:rsidP="003E4FC2">
      <w:pPr>
        <w:spacing w:after="0" w:line="240" w:lineRule="auto"/>
        <w:ind w:left="426"/>
        <w:jc w:val="both"/>
        <w:rPr>
          <w:sz w:val="24"/>
          <w:szCs w:val="24"/>
        </w:rPr>
      </w:pPr>
      <w:r>
        <w:rPr>
          <w:noProof/>
          <w:sz w:val="24"/>
          <w:szCs w:val="24"/>
          <w:lang w:val="en-US"/>
        </w:rPr>
        <w:drawing>
          <wp:inline distT="0" distB="0" distL="0" distR="0" wp14:anchorId="6DB19516" wp14:editId="50B169F9">
            <wp:extent cx="5419725" cy="2600325"/>
            <wp:effectExtent l="0" t="0" r="0" b="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56308" w:rsidRPr="001A62CB" w:rsidRDefault="00456308" w:rsidP="003E4FC2">
      <w:pPr>
        <w:spacing w:after="0" w:line="240" w:lineRule="auto"/>
        <w:jc w:val="both"/>
        <w:rPr>
          <w:sz w:val="24"/>
          <w:szCs w:val="24"/>
        </w:rPr>
      </w:pPr>
    </w:p>
    <w:p w:rsidR="0004155B" w:rsidRPr="001A62CB" w:rsidRDefault="00A93DEC" w:rsidP="003E4FC2">
      <w:pPr>
        <w:spacing w:after="0" w:line="240" w:lineRule="auto"/>
        <w:ind w:left="360"/>
        <w:jc w:val="both"/>
        <w:rPr>
          <w:sz w:val="24"/>
          <w:szCs w:val="24"/>
        </w:rPr>
      </w:pPr>
      <w:r w:rsidRPr="001A62CB">
        <w:rPr>
          <w:sz w:val="24"/>
          <w:szCs w:val="24"/>
        </w:rPr>
        <w:t xml:space="preserve">In approximately </w:t>
      </w:r>
      <w:r w:rsidR="00DE48F5" w:rsidRPr="001A62CB">
        <w:rPr>
          <w:sz w:val="24"/>
          <w:szCs w:val="24"/>
        </w:rPr>
        <w:t>half</w:t>
      </w:r>
      <w:r w:rsidRPr="001A62CB">
        <w:rPr>
          <w:sz w:val="24"/>
          <w:szCs w:val="24"/>
        </w:rPr>
        <w:t xml:space="preserve"> of the Member States </w:t>
      </w:r>
      <w:r w:rsidR="00064F0B" w:rsidRPr="001A62CB">
        <w:rPr>
          <w:sz w:val="24"/>
          <w:szCs w:val="24"/>
        </w:rPr>
        <w:t>(</w:t>
      </w:r>
      <w:r w:rsidR="00064F0B" w:rsidRPr="001A62CB">
        <w:rPr>
          <w:b/>
          <w:sz w:val="24"/>
          <w:szCs w:val="24"/>
        </w:rPr>
        <w:t xml:space="preserve">Bulgaria, the Czech Republic, Finland, France, </w:t>
      </w:r>
      <w:r w:rsidR="00A134AE">
        <w:rPr>
          <w:b/>
          <w:sz w:val="24"/>
          <w:szCs w:val="24"/>
        </w:rPr>
        <w:t>Greece, Hungary, Italy, Latvia,</w:t>
      </w:r>
      <w:r w:rsidR="00A134AE" w:rsidRPr="001A62CB">
        <w:rPr>
          <w:b/>
          <w:sz w:val="24"/>
          <w:szCs w:val="24"/>
        </w:rPr>
        <w:t xml:space="preserve"> the Netherlands</w:t>
      </w:r>
      <w:r w:rsidR="00E64EDE">
        <w:rPr>
          <w:b/>
          <w:sz w:val="24"/>
          <w:szCs w:val="24"/>
        </w:rPr>
        <w:t>,</w:t>
      </w:r>
      <w:r w:rsidR="00A134AE" w:rsidRPr="001A62CB">
        <w:rPr>
          <w:b/>
          <w:sz w:val="24"/>
          <w:szCs w:val="24"/>
        </w:rPr>
        <w:t xml:space="preserve"> </w:t>
      </w:r>
      <w:r w:rsidR="00064F0B" w:rsidRPr="001A62CB">
        <w:rPr>
          <w:b/>
          <w:sz w:val="24"/>
          <w:szCs w:val="24"/>
        </w:rPr>
        <w:t xml:space="preserve">Portugal, Slovakia, Slovenia, </w:t>
      </w:r>
      <w:r w:rsidR="00A134AE">
        <w:rPr>
          <w:b/>
          <w:sz w:val="24"/>
          <w:szCs w:val="24"/>
        </w:rPr>
        <w:t xml:space="preserve">and </w:t>
      </w:r>
      <w:r w:rsidR="00064F0B" w:rsidRPr="001A62CB">
        <w:rPr>
          <w:b/>
          <w:sz w:val="24"/>
          <w:szCs w:val="24"/>
        </w:rPr>
        <w:t>Spain</w:t>
      </w:r>
      <w:r w:rsidR="005B2E16" w:rsidRPr="001A62CB">
        <w:rPr>
          <w:sz w:val="24"/>
          <w:szCs w:val="24"/>
        </w:rPr>
        <w:t xml:space="preserve">) </w:t>
      </w:r>
      <w:r w:rsidR="005B2E16">
        <w:rPr>
          <w:sz w:val="24"/>
          <w:szCs w:val="24"/>
        </w:rPr>
        <w:t>there</w:t>
      </w:r>
      <w:r w:rsidR="007B5A93">
        <w:rPr>
          <w:sz w:val="24"/>
          <w:szCs w:val="24"/>
        </w:rPr>
        <w:t xml:space="preserve"> was </w:t>
      </w:r>
      <w:r w:rsidRPr="001A62CB">
        <w:rPr>
          <w:sz w:val="24"/>
          <w:szCs w:val="24"/>
        </w:rPr>
        <w:t xml:space="preserve">a decrease in the number of </w:t>
      </w:r>
      <w:r w:rsidR="007B5A93">
        <w:rPr>
          <w:sz w:val="24"/>
          <w:szCs w:val="24"/>
        </w:rPr>
        <w:t>M</w:t>
      </w:r>
      <w:r w:rsidRPr="001A62CB">
        <w:rPr>
          <w:sz w:val="24"/>
          <w:szCs w:val="24"/>
        </w:rPr>
        <w:t xml:space="preserve">inistries since 2006.  </w:t>
      </w:r>
      <w:r w:rsidR="00727180" w:rsidRPr="006F6242">
        <w:rPr>
          <w:b/>
          <w:sz w:val="24"/>
          <w:szCs w:val="24"/>
        </w:rPr>
        <w:t>Portugal</w:t>
      </w:r>
      <w:r w:rsidR="00727180">
        <w:rPr>
          <w:sz w:val="24"/>
          <w:szCs w:val="24"/>
        </w:rPr>
        <w:t xml:space="preserve">, for example, reported 10 </w:t>
      </w:r>
      <w:r w:rsidR="005B0E84">
        <w:rPr>
          <w:sz w:val="24"/>
          <w:szCs w:val="24"/>
        </w:rPr>
        <w:t>M</w:t>
      </w:r>
      <w:r w:rsidR="00727180">
        <w:rPr>
          <w:sz w:val="24"/>
          <w:szCs w:val="24"/>
        </w:rPr>
        <w:t xml:space="preserve">inistries in 2013 as compared with 14 in 2006.  Similarly, </w:t>
      </w:r>
      <w:r w:rsidR="00E94372" w:rsidRPr="006F6242">
        <w:rPr>
          <w:b/>
          <w:sz w:val="24"/>
          <w:szCs w:val="24"/>
        </w:rPr>
        <w:t>Spain</w:t>
      </w:r>
      <w:r w:rsidR="00727180">
        <w:rPr>
          <w:sz w:val="24"/>
          <w:szCs w:val="24"/>
        </w:rPr>
        <w:t xml:space="preserve"> </w:t>
      </w:r>
      <w:r w:rsidR="00E94372" w:rsidRPr="001A62CB">
        <w:rPr>
          <w:sz w:val="24"/>
          <w:szCs w:val="24"/>
        </w:rPr>
        <w:t>reported 13</w:t>
      </w:r>
      <w:r w:rsidR="006669DE" w:rsidRPr="001A62CB">
        <w:rPr>
          <w:sz w:val="24"/>
          <w:szCs w:val="24"/>
        </w:rPr>
        <w:t xml:space="preserve"> </w:t>
      </w:r>
      <w:r w:rsidR="005B0E84">
        <w:rPr>
          <w:sz w:val="24"/>
          <w:szCs w:val="24"/>
        </w:rPr>
        <w:t>M</w:t>
      </w:r>
      <w:r w:rsidR="006669DE" w:rsidRPr="001A62CB">
        <w:rPr>
          <w:sz w:val="24"/>
          <w:szCs w:val="24"/>
        </w:rPr>
        <w:t>inistries in 2013</w:t>
      </w:r>
      <w:r w:rsidR="0088357A">
        <w:rPr>
          <w:sz w:val="24"/>
          <w:szCs w:val="24"/>
        </w:rPr>
        <w:t>,</w:t>
      </w:r>
      <w:r w:rsidR="006669DE" w:rsidRPr="001A62CB">
        <w:rPr>
          <w:sz w:val="24"/>
          <w:szCs w:val="24"/>
        </w:rPr>
        <w:t xml:space="preserve"> as compared </w:t>
      </w:r>
      <w:r w:rsidR="007B5A93">
        <w:rPr>
          <w:sz w:val="24"/>
          <w:szCs w:val="24"/>
        </w:rPr>
        <w:t xml:space="preserve">to </w:t>
      </w:r>
      <w:r w:rsidR="006669DE" w:rsidRPr="001A62CB">
        <w:rPr>
          <w:sz w:val="24"/>
          <w:szCs w:val="24"/>
        </w:rPr>
        <w:t>1</w:t>
      </w:r>
      <w:r w:rsidR="00E94372" w:rsidRPr="001A62CB">
        <w:rPr>
          <w:sz w:val="24"/>
          <w:szCs w:val="24"/>
        </w:rPr>
        <w:t>7</w:t>
      </w:r>
      <w:r w:rsidR="006669DE" w:rsidRPr="001A62CB">
        <w:rPr>
          <w:sz w:val="24"/>
          <w:szCs w:val="24"/>
        </w:rPr>
        <w:t xml:space="preserve"> in 2006.  </w:t>
      </w:r>
    </w:p>
    <w:p w:rsidR="0004155B" w:rsidRPr="001A62CB" w:rsidRDefault="0004155B" w:rsidP="003E4FC2">
      <w:pPr>
        <w:spacing w:after="0" w:line="240" w:lineRule="auto"/>
        <w:ind w:left="360"/>
        <w:jc w:val="both"/>
        <w:rPr>
          <w:sz w:val="24"/>
          <w:szCs w:val="24"/>
        </w:rPr>
      </w:pPr>
    </w:p>
    <w:p w:rsidR="0004155B" w:rsidRPr="001A62CB" w:rsidRDefault="007B5EE0" w:rsidP="003E4FC2">
      <w:pPr>
        <w:spacing w:after="0" w:line="240" w:lineRule="auto"/>
        <w:ind w:left="360"/>
        <w:jc w:val="both"/>
        <w:rPr>
          <w:sz w:val="24"/>
          <w:szCs w:val="24"/>
        </w:rPr>
      </w:pPr>
      <w:r>
        <w:rPr>
          <w:sz w:val="24"/>
          <w:szCs w:val="24"/>
        </w:rPr>
        <w:t xml:space="preserve">Seven </w:t>
      </w:r>
      <w:r w:rsidR="00A93DEC" w:rsidRPr="001A62CB">
        <w:rPr>
          <w:sz w:val="24"/>
          <w:szCs w:val="24"/>
        </w:rPr>
        <w:t>Member States</w:t>
      </w:r>
      <w:r w:rsidR="00064F0B" w:rsidRPr="001A62CB">
        <w:rPr>
          <w:sz w:val="24"/>
          <w:szCs w:val="24"/>
        </w:rPr>
        <w:t xml:space="preserve"> (</w:t>
      </w:r>
      <w:r w:rsidR="00064F0B" w:rsidRPr="001A62CB">
        <w:rPr>
          <w:b/>
          <w:sz w:val="24"/>
          <w:szCs w:val="24"/>
        </w:rPr>
        <w:t xml:space="preserve">Austria, Ireland, Lithuania, </w:t>
      </w:r>
      <w:r w:rsidR="00EC4BFD" w:rsidRPr="001A62CB">
        <w:rPr>
          <w:b/>
          <w:sz w:val="24"/>
          <w:szCs w:val="24"/>
        </w:rPr>
        <w:t xml:space="preserve">Malta, </w:t>
      </w:r>
      <w:r w:rsidR="00064F0B" w:rsidRPr="001A62CB">
        <w:rPr>
          <w:b/>
          <w:sz w:val="24"/>
          <w:szCs w:val="24"/>
        </w:rPr>
        <w:t>Poland, Romania and Sweden</w:t>
      </w:r>
      <w:r w:rsidR="005B2E16" w:rsidRPr="001A62CB">
        <w:rPr>
          <w:sz w:val="24"/>
          <w:szCs w:val="24"/>
        </w:rPr>
        <w:t xml:space="preserve">) </w:t>
      </w:r>
      <w:r>
        <w:rPr>
          <w:sz w:val="24"/>
          <w:szCs w:val="24"/>
        </w:rPr>
        <w:t xml:space="preserve">report </w:t>
      </w:r>
      <w:r w:rsidR="00A93DEC" w:rsidRPr="001A62CB">
        <w:rPr>
          <w:sz w:val="24"/>
          <w:szCs w:val="24"/>
        </w:rPr>
        <w:t xml:space="preserve">an increase in the number of </w:t>
      </w:r>
      <w:r w:rsidR="007B5A93">
        <w:rPr>
          <w:sz w:val="24"/>
          <w:szCs w:val="24"/>
        </w:rPr>
        <w:t>M</w:t>
      </w:r>
      <w:r w:rsidR="00A93DEC" w:rsidRPr="001A62CB">
        <w:rPr>
          <w:sz w:val="24"/>
          <w:szCs w:val="24"/>
        </w:rPr>
        <w:t>inistries</w:t>
      </w:r>
      <w:r w:rsidR="00F61AD3" w:rsidRPr="001A62CB">
        <w:rPr>
          <w:sz w:val="24"/>
          <w:szCs w:val="24"/>
        </w:rPr>
        <w:t xml:space="preserve">.  </w:t>
      </w:r>
      <w:r w:rsidR="00B250AF" w:rsidRPr="001A62CB">
        <w:rPr>
          <w:sz w:val="24"/>
          <w:szCs w:val="24"/>
        </w:rPr>
        <w:t xml:space="preserve">In </w:t>
      </w:r>
      <w:r w:rsidR="00F61AD3" w:rsidRPr="007B5EE0">
        <w:rPr>
          <w:b/>
          <w:sz w:val="24"/>
          <w:szCs w:val="24"/>
        </w:rPr>
        <w:t>Ireland</w:t>
      </w:r>
      <w:r w:rsidR="00F61AD3" w:rsidRPr="001A62CB">
        <w:rPr>
          <w:sz w:val="24"/>
          <w:szCs w:val="24"/>
        </w:rPr>
        <w:t xml:space="preserve">, for example, </w:t>
      </w:r>
      <w:r w:rsidR="00B250AF" w:rsidRPr="001A62CB">
        <w:rPr>
          <w:sz w:val="24"/>
          <w:szCs w:val="24"/>
        </w:rPr>
        <w:t xml:space="preserve">the establishment of the Department of Public Expenditure and Reform </w:t>
      </w:r>
      <w:r w:rsidR="007B5A93">
        <w:rPr>
          <w:sz w:val="24"/>
          <w:szCs w:val="24"/>
        </w:rPr>
        <w:t xml:space="preserve">increased </w:t>
      </w:r>
      <w:r w:rsidR="005B2E16">
        <w:rPr>
          <w:sz w:val="24"/>
          <w:szCs w:val="24"/>
        </w:rPr>
        <w:t>the number</w:t>
      </w:r>
      <w:r w:rsidR="007B5A93">
        <w:rPr>
          <w:sz w:val="24"/>
          <w:szCs w:val="24"/>
        </w:rPr>
        <w:t xml:space="preserve"> of Ministries by one to </w:t>
      </w:r>
      <w:r w:rsidR="00F61AD3" w:rsidRPr="001A62CB">
        <w:rPr>
          <w:sz w:val="24"/>
          <w:szCs w:val="24"/>
        </w:rPr>
        <w:t xml:space="preserve">16 compared </w:t>
      </w:r>
      <w:r w:rsidR="007B5A93">
        <w:rPr>
          <w:sz w:val="24"/>
          <w:szCs w:val="24"/>
        </w:rPr>
        <w:t xml:space="preserve">to </w:t>
      </w:r>
      <w:r w:rsidR="00F61AD3" w:rsidRPr="001A62CB">
        <w:rPr>
          <w:sz w:val="24"/>
          <w:szCs w:val="24"/>
        </w:rPr>
        <w:t xml:space="preserve">15 in 2006.  </w:t>
      </w:r>
      <w:r w:rsidR="00014583">
        <w:rPr>
          <w:sz w:val="24"/>
          <w:szCs w:val="24"/>
        </w:rPr>
        <w:t>This</w:t>
      </w:r>
      <w:r w:rsidR="007B5A93">
        <w:rPr>
          <w:sz w:val="24"/>
          <w:szCs w:val="24"/>
        </w:rPr>
        <w:t xml:space="preserve"> increase</w:t>
      </w:r>
      <w:r w:rsidR="00014583">
        <w:rPr>
          <w:sz w:val="24"/>
          <w:szCs w:val="24"/>
        </w:rPr>
        <w:t xml:space="preserve"> was achieved by way of transfers of functions and without the appointment of any additional staff. </w:t>
      </w:r>
    </w:p>
    <w:p w:rsidR="0004155B" w:rsidRPr="001A62CB" w:rsidRDefault="0004155B" w:rsidP="003E4FC2">
      <w:pPr>
        <w:spacing w:after="0" w:line="240" w:lineRule="auto"/>
        <w:ind w:left="360"/>
        <w:jc w:val="both"/>
        <w:rPr>
          <w:sz w:val="24"/>
          <w:szCs w:val="24"/>
        </w:rPr>
      </w:pPr>
    </w:p>
    <w:p w:rsidR="00B14987" w:rsidRPr="001A62CB" w:rsidRDefault="007B5EE0" w:rsidP="007B5EE0">
      <w:pPr>
        <w:spacing w:after="0" w:line="240" w:lineRule="auto"/>
        <w:ind w:left="360"/>
        <w:jc w:val="both"/>
        <w:rPr>
          <w:sz w:val="24"/>
          <w:szCs w:val="24"/>
        </w:rPr>
      </w:pPr>
      <w:r>
        <w:rPr>
          <w:sz w:val="24"/>
          <w:szCs w:val="24"/>
        </w:rPr>
        <w:t xml:space="preserve">The other 7 </w:t>
      </w:r>
      <w:r w:rsidR="00F61AD3" w:rsidRPr="001A62CB">
        <w:rPr>
          <w:sz w:val="24"/>
          <w:szCs w:val="24"/>
        </w:rPr>
        <w:t>Member States</w:t>
      </w:r>
      <w:r w:rsidR="00064F0B" w:rsidRPr="001A62CB">
        <w:rPr>
          <w:sz w:val="24"/>
          <w:szCs w:val="24"/>
        </w:rPr>
        <w:t xml:space="preserve"> (</w:t>
      </w:r>
      <w:r w:rsidR="00064F0B" w:rsidRPr="001A62CB">
        <w:rPr>
          <w:b/>
          <w:sz w:val="24"/>
          <w:szCs w:val="24"/>
        </w:rPr>
        <w:t>Belgium, Cyprus, Denmark, Estonia, Germany</w:t>
      </w:r>
      <w:r w:rsidR="00EB00F9">
        <w:rPr>
          <w:b/>
          <w:sz w:val="24"/>
          <w:szCs w:val="24"/>
        </w:rPr>
        <w:t>,</w:t>
      </w:r>
      <w:r w:rsidR="00064F0B" w:rsidRPr="001A62CB">
        <w:rPr>
          <w:b/>
          <w:sz w:val="24"/>
          <w:szCs w:val="24"/>
        </w:rPr>
        <w:t xml:space="preserve"> Luxembourg</w:t>
      </w:r>
      <w:r w:rsidR="00EB00F9">
        <w:rPr>
          <w:b/>
          <w:sz w:val="24"/>
          <w:szCs w:val="24"/>
        </w:rPr>
        <w:t>,</w:t>
      </w:r>
      <w:r w:rsidR="009E13D0">
        <w:rPr>
          <w:b/>
          <w:sz w:val="24"/>
          <w:szCs w:val="24"/>
        </w:rPr>
        <w:t xml:space="preserve"> and the UK</w:t>
      </w:r>
      <w:r w:rsidR="00064F0B" w:rsidRPr="001A62CB">
        <w:rPr>
          <w:sz w:val="24"/>
          <w:szCs w:val="24"/>
        </w:rPr>
        <w:t>)</w:t>
      </w:r>
      <w:r w:rsidR="00064F0B" w:rsidRPr="001A62CB">
        <w:rPr>
          <w:b/>
          <w:sz w:val="24"/>
          <w:szCs w:val="24"/>
        </w:rPr>
        <w:t xml:space="preserve"> </w:t>
      </w:r>
      <w:r w:rsidR="0049173C">
        <w:rPr>
          <w:sz w:val="24"/>
          <w:szCs w:val="24"/>
        </w:rPr>
        <w:t>report</w:t>
      </w:r>
      <w:r w:rsidR="00A93DEC" w:rsidRPr="001A62CB">
        <w:rPr>
          <w:sz w:val="24"/>
          <w:szCs w:val="24"/>
        </w:rPr>
        <w:t xml:space="preserve"> no change in the number</w:t>
      </w:r>
      <w:r w:rsidR="00F61AD3" w:rsidRPr="001A62CB">
        <w:rPr>
          <w:sz w:val="24"/>
          <w:szCs w:val="24"/>
        </w:rPr>
        <w:t xml:space="preserve"> of </w:t>
      </w:r>
      <w:r w:rsidR="007B5A93">
        <w:rPr>
          <w:sz w:val="24"/>
          <w:szCs w:val="24"/>
        </w:rPr>
        <w:t>M</w:t>
      </w:r>
      <w:r w:rsidR="00F61AD3" w:rsidRPr="001A62CB">
        <w:rPr>
          <w:sz w:val="24"/>
          <w:szCs w:val="24"/>
        </w:rPr>
        <w:t xml:space="preserve">inistries.  </w:t>
      </w:r>
    </w:p>
    <w:p w:rsidR="00291391" w:rsidRDefault="00291391" w:rsidP="003E4FC2">
      <w:pPr>
        <w:jc w:val="both"/>
        <w:rPr>
          <w:sz w:val="24"/>
          <w:szCs w:val="24"/>
        </w:rPr>
      </w:pPr>
    </w:p>
    <w:p w:rsidR="00206EEA" w:rsidRDefault="00FC494A" w:rsidP="00206EEA">
      <w:pPr>
        <w:jc w:val="both"/>
        <w:rPr>
          <w:b/>
          <w:sz w:val="24"/>
          <w:szCs w:val="24"/>
        </w:rPr>
      </w:pPr>
      <w:r>
        <w:rPr>
          <w:b/>
          <w:sz w:val="24"/>
          <w:szCs w:val="24"/>
        </w:rPr>
        <w:br w:type="page"/>
      </w:r>
    </w:p>
    <w:p w:rsidR="007E4156" w:rsidRDefault="00206EEA" w:rsidP="00206EEA">
      <w:pPr>
        <w:jc w:val="both"/>
        <w:rPr>
          <w:b/>
          <w:sz w:val="24"/>
          <w:szCs w:val="24"/>
        </w:rPr>
      </w:pPr>
      <w:r>
        <w:rPr>
          <w:b/>
          <w:sz w:val="24"/>
          <w:szCs w:val="24"/>
        </w:rPr>
        <w:lastRenderedPageBreak/>
        <w:t xml:space="preserve">4. </w:t>
      </w:r>
      <w:r w:rsidR="007E4156">
        <w:rPr>
          <w:b/>
          <w:sz w:val="24"/>
          <w:szCs w:val="24"/>
        </w:rPr>
        <w:t>STRUCTURE OF EACH MINISTR</w:t>
      </w:r>
      <w:r>
        <w:rPr>
          <w:b/>
          <w:sz w:val="24"/>
          <w:szCs w:val="24"/>
        </w:rPr>
        <w:t>Y</w:t>
      </w:r>
    </w:p>
    <w:p w:rsidR="007E4156" w:rsidRPr="006F6242" w:rsidRDefault="007E4156" w:rsidP="003E4FC2">
      <w:pPr>
        <w:spacing w:after="0" w:line="240" w:lineRule="auto"/>
        <w:ind w:left="360"/>
        <w:jc w:val="both"/>
        <w:rPr>
          <w:b/>
          <w:sz w:val="24"/>
          <w:szCs w:val="24"/>
        </w:rPr>
      </w:pPr>
    </w:p>
    <w:p w:rsidR="001B642F" w:rsidRDefault="001B642F" w:rsidP="00AB3631">
      <w:pPr>
        <w:pStyle w:val="ListParagraph"/>
        <w:spacing w:after="0" w:line="240" w:lineRule="auto"/>
        <w:ind w:left="1440" w:hanging="1440"/>
        <w:jc w:val="both"/>
        <w:rPr>
          <w:b/>
          <w:sz w:val="24"/>
          <w:szCs w:val="24"/>
        </w:rPr>
      </w:pPr>
      <w:r w:rsidRPr="001A62CB">
        <w:rPr>
          <w:b/>
          <w:sz w:val="24"/>
          <w:szCs w:val="24"/>
        </w:rPr>
        <w:t>Structure within each Ministry</w:t>
      </w:r>
      <w:r w:rsidR="007E4156">
        <w:rPr>
          <w:b/>
          <w:sz w:val="24"/>
          <w:szCs w:val="24"/>
        </w:rPr>
        <w:t xml:space="preserve"> across EUPAN Member States </w:t>
      </w:r>
      <w:r w:rsidR="00206EEA">
        <w:rPr>
          <w:b/>
          <w:sz w:val="24"/>
          <w:szCs w:val="24"/>
        </w:rPr>
        <w:t>– 2012</w:t>
      </w:r>
      <w:r w:rsidR="00AB3631">
        <w:rPr>
          <w:b/>
          <w:sz w:val="24"/>
          <w:szCs w:val="24"/>
        </w:rPr>
        <w:t xml:space="preserve"> vs. 2006</w:t>
      </w:r>
    </w:p>
    <w:p w:rsidR="0093544C" w:rsidRDefault="0093544C" w:rsidP="00AB3631">
      <w:pPr>
        <w:pStyle w:val="ListParagraph"/>
        <w:spacing w:after="0" w:line="240" w:lineRule="auto"/>
        <w:ind w:left="1440" w:hanging="1440"/>
        <w:jc w:val="both"/>
        <w:rPr>
          <w:b/>
          <w:sz w:val="24"/>
          <w:szCs w:val="24"/>
        </w:rPr>
      </w:pPr>
    </w:p>
    <w:p w:rsidR="0093544C" w:rsidRPr="00876FEA" w:rsidRDefault="0093544C" w:rsidP="0093544C">
      <w:pPr>
        <w:jc w:val="both"/>
        <w:rPr>
          <w:sz w:val="24"/>
          <w:szCs w:val="24"/>
        </w:rPr>
      </w:pPr>
      <w:r>
        <w:rPr>
          <w:sz w:val="24"/>
          <w:szCs w:val="24"/>
        </w:rPr>
        <w:t>In comparing the returns from 2006 with those from the current Survey there are</w:t>
      </w:r>
      <w:r w:rsidRPr="00876FEA">
        <w:rPr>
          <w:sz w:val="24"/>
          <w:szCs w:val="24"/>
        </w:rPr>
        <w:t xml:space="preserve"> no significant change</w:t>
      </w:r>
      <w:r>
        <w:rPr>
          <w:sz w:val="24"/>
          <w:szCs w:val="24"/>
        </w:rPr>
        <w:t>s</w:t>
      </w:r>
      <w:r w:rsidRPr="00876FEA">
        <w:rPr>
          <w:sz w:val="24"/>
          <w:szCs w:val="24"/>
        </w:rPr>
        <w:t xml:space="preserve"> to </w:t>
      </w:r>
      <w:r>
        <w:rPr>
          <w:sz w:val="24"/>
          <w:szCs w:val="24"/>
        </w:rPr>
        <w:t>report in this category.</w:t>
      </w:r>
    </w:p>
    <w:p w:rsidR="00CB5D34" w:rsidRPr="001A62CB" w:rsidRDefault="00CB5D34" w:rsidP="003E4FC2">
      <w:pPr>
        <w:spacing w:after="0" w:line="240" w:lineRule="auto"/>
        <w:jc w:val="both"/>
        <w:rPr>
          <w:sz w:val="24"/>
          <w:szCs w:val="24"/>
        </w:rPr>
      </w:pPr>
    </w:p>
    <w:p w:rsidR="001C0366" w:rsidRPr="008574D3" w:rsidRDefault="00CB5D34" w:rsidP="008574D3">
      <w:pPr>
        <w:jc w:val="both"/>
        <w:rPr>
          <w:sz w:val="24"/>
          <w:szCs w:val="24"/>
        </w:rPr>
      </w:pPr>
      <w:r>
        <w:rPr>
          <w:b/>
          <w:sz w:val="24"/>
          <w:szCs w:val="24"/>
        </w:rPr>
        <w:t>5. D</w:t>
      </w:r>
      <w:r w:rsidR="007E4156" w:rsidRPr="006F6242">
        <w:rPr>
          <w:b/>
          <w:sz w:val="24"/>
          <w:szCs w:val="24"/>
        </w:rPr>
        <w:t>EPARTMENTS/</w:t>
      </w:r>
      <w:r w:rsidRPr="006F6242">
        <w:rPr>
          <w:b/>
          <w:sz w:val="24"/>
          <w:szCs w:val="24"/>
        </w:rPr>
        <w:t>MINISTRIES WITH</w:t>
      </w:r>
      <w:r w:rsidR="001C0366" w:rsidRPr="006F6242">
        <w:rPr>
          <w:b/>
          <w:sz w:val="24"/>
          <w:szCs w:val="24"/>
        </w:rPr>
        <w:t xml:space="preserve"> RESPONSIBILITY FOR HR POLICY</w:t>
      </w:r>
    </w:p>
    <w:p w:rsidR="00EC539D" w:rsidRPr="00CB5D34" w:rsidRDefault="00F92BCE" w:rsidP="00CB5D34">
      <w:pPr>
        <w:spacing w:after="0" w:line="240" w:lineRule="auto"/>
        <w:ind w:left="2160" w:hanging="1440"/>
        <w:jc w:val="both"/>
        <w:rPr>
          <w:b/>
          <w:sz w:val="20"/>
          <w:szCs w:val="20"/>
        </w:rPr>
      </w:pPr>
      <w:r w:rsidRPr="00CB5D34">
        <w:rPr>
          <w:b/>
          <w:sz w:val="20"/>
          <w:szCs w:val="20"/>
        </w:rPr>
        <w:t>Figure</w:t>
      </w:r>
      <w:r w:rsidR="00307E3D" w:rsidRPr="00CB5D34">
        <w:rPr>
          <w:b/>
          <w:sz w:val="20"/>
          <w:szCs w:val="20"/>
        </w:rPr>
        <w:t xml:space="preserve"> 1.6</w:t>
      </w:r>
      <w:r w:rsidR="001C0366" w:rsidRPr="00CB5D34">
        <w:rPr>
          <w:b/>
          <w:sz w:val="20"/>
          <w:szCs w:val="20"/>
        </w:rPr>
        <w:t>:</w:t>
      </w:r>
      <w:r w:rsidR="001C0366" w:rsidRPr="00CB5D34">
        <w:rPr>
          <w:b/>
          <w:sz w:val="20"/>
          <w:szCs w:val="20"/>
        </w:rPr>
        <w:tab/>
      </w:r>
      <w:r w:rsidR="00DA0359" w:rsidRPr="00CB5D34">
        <w:rPr>
          <w:b/>
          <w:sz w:val="20"/>
          <w:szCs w:val="20"/>
        </w:rPr>
        <w:t>Department/Ministry</w:t>
      </w:r>
      <w:r w:rsidR="00EC539D" w:rsidRPr="00CB5D34">
        <w:rPr>
          <w:b/>
          <w:sz w:val="20"/>
          <w:szCs w:val="20"/>
        </w:rPr>
        <w:t xml:space="preserve"> with Responsibility for HR Policy</w:t>
      </w:r>
      <w:r w:rsidR="00AB3631" w:rsidRPr="00CB5D34">
        <w:rPr>
          <w:b/>
          <w:sz w:val="20"/>
          <w:szCs w:val="20"/>
        </w:rPr>
        <w:t xml:space="preserve"> across </w:t>
      </w:r>
      <w:r w:rsidR="007E4156" w:rsidRPr="00CB5D34">
        <w:rPr>
          <w:b/>
          <w:sz w:val="20"/>
          <w:szCs w:val="20"/>
        </w:rPr>
        <w:t>EUPAN Member States</w:t>
      </w:r>
      <w:r w:rsidR="00CB5D34" w:rsidRPr="00CB5D34">
        <w:rPr>
          <w:b/>
          <w:sz w:val="20"/>
          <w:szCs w:val="20"/>
        </w:rPr>
        <w:t xml:space="preserve"> – 2012</w:t>
      </w:r>
      <w:r w:rsidR="00AB3631" w:rsidRPr="00CB5D34">
        <w:rPr>
          <w:b/>
          <w:sz w:val="20"/>
          <w:szCs w:val="20"/>
        </w:rPr>
        <w:t xml:space="preserve"> vs. 2006</w:t>
      </w:r>
    </w:p>
    <w:p w:rsidR="00EC539D" w:rsidRPr="001A62CB" w:rsidRDefault="00EC539D" w:rsidP="003E4FC2">
      <w:pPr>
        <w:spacing w:after="0" w:line="240" w:lineRule="auto"/>
        <w:jc w:val="both"/>
        <w:rPr>
          <w:sz w:val="24"/>
          <w:szCs w:val="24"/>
        </w:rPr>
      </w:pPr>
    </w:p>
    <w:p w:rsidR="0000647E" w:rsidRPr="001A62CB" w:rsidRDefault="00E2727A" w:rsidP="003E4FC2">
      <w:pPr>
        <w:spacing w:after="0" w:line="240" w:lineRule="auto"/>
        <w:ind w:left="426"/>
        <w:jc w:val="both"/>
        <w:rPr>
          <w:sz w:val="24"/>
          <w:szCs w:val="24"/>
        </w:rPr>
      </w:pPr>
      <w:r>
        <w:rPr>
          <w:noProof/>
          <w:sz w:val="24"/>
          <w:szCs w:val="24"/>
          <w:lang w:val="en-US"/>
        </w:rPr>
        <w:drawing>
          <wp:inline distT="0" distB="0" distL="0" distR="0" wp14:anchorId="411F2C69" wp14:editId="63F782B2">
            <wp:extent cx="5514975" cy="2533650"/>
            <wp:effectExtent l="0" t="0" r="0" b="0"/>
            <wp:docPr id="6"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F1F7E" w:rsidRDefault="009F1F7E" w:rsidP="009F1F7E">
      <w:pPr>
        <w:spacing w:after="0" w:line="240" w:lineRule="auto"/>
        <w:ind w:firstLine="360"/>
        <w:jc w:val="both"/>
        <w:rPr>
          <w:sz w:val="24"/>
          <w:szCs w:val="24"/>
        </w:rPr>
      </w:pPr>
    </w:p>
    <w:p w:rsidR="00932D1F" w:rsidRPr="001A62CB" w:rsidRDefault="00F24FC9" w:rsidP="009F1F7E">
      <w:pPr>
        <w:spacing w:after="0" w:line="240" w:lineRule="auto"/>
        <w:ind w:left="360"/>
        <w:jc w:val="both"/>
        <w:rPr>
          <w:sz w:val="24"/>
          <w:szCs w:val="24"/>
        </w:rPr>
      </w:pPr>
      <w:r>
        <w:rPr>
          <w:sz w:val="24"/>
          <w:szCs w:val="24"/>
        </w:rPr>
        <w:t xml:space="preserve">Twenty </w:t>
      </w:r>
      <w:r w:rsidR="005B0E84">
        <w:rPr>
          <w:sz w:val="24"/>
          <w:szCs w:val="24"/>
        </w:rPr>
        <w:t xml:space="preserve">seven </w:t>
      </w:r>
      <w:r>
        <w:rPr>
          <w:sz w:val="24"/>
          <w:szCs w:val="24"/>
        </w:rPr>
        <w:t>Member States responded to this question.</w:t>
      </w:r>
      <w:r w:rsidR="009F1F7E">
        <w:rPr>
          <w:sz w:val="24"/>
          <w:szCs w:val="24"/>
        </w:rPr>
        <w:t xml:space="preserve"> </w:t>
      </w:r>
      <w:r w:rsidR="006B2357">
        <w:rPr>
          <w:sz w:val="24"/>
          <w:szCs w:val="24"/>
        </w:rPr>
        <w:t>Twenty three M</w:t>
      </w:r>
      <w:r w:rsidR="004F6A67" w:rsidRPr="001A62CB">
        <w:rPr>
          <w:sz w:val="24"/>
          <w:szCs w:val="24"/>
        </w:rPr>
        <w:t xml:space="preserve">ember States </w:t>
      </w:r>
      <w:r w:rsidR="00FC494A">
        <w:rPr>
          <w:sz w:val="24"/>
          <w:szCs w:val="24"/>
        </w:rPr>
        <w:t xml:space="preserve">report that </w:t>
      </w:r>
      <w:r w:rsidR="004F6A67" w:rsidRPr="001A62CB">
        <w:rPr>
          <w:sz w:val="24"/>
          <w:szCs w:val="24"/>
        </w:rPr>
        <w:t xml:space="preserve">a central </w:t>
      </w:r>
      <w:r w:rsidR="00597A93">
        <w:rPr>
          <w:sz w:val="24"/>
          <w:szCs w:val="24"/>
        </w:rPr>
        <w:t>D</w:t>
      </w:r>
      <w:r w:rsidR="004F6A67" w:rsidRPr="001A62CB">
        <w:rPr>
          <w:sz w:val="24"/>
          <w:szCs w:val="24"/>
        </w:rPr>
        <w:t>epartment/</w:t>
      </w:r>
      <w:r w:rsidR="00597A93">
        <w:rPr>
          <w:sz w:val="24"/>
          <w:szCs w:val="24"/>
        </w:rPr>
        <w:t>M</w:t>
      </w:r>
      <w:r w:rsidR="004F6A67" w:rsidRPr="001A62CB">
        <w:rPr>
          <w:sz w:val="24"/>
          <w:szCs w:val="24"/>
        </w:rPr>
        <w:t xml:space="preserve">inistry </w:t>
      </w:r>
      <w:r w:rsidR="00B61E62" w:rsidRPr="001A62CB">
        <w:rPr>
          <w:sz w:val="24"/>
          <w:szCs w:val="24"/>
        </w:rPr>
        <w:t xml:space="preserve">is </w:t>
      </w:r>
      <w:r w:rsidR="004F6A67" w:rsidRPr="001A62CB">
        <w:rPr>
          <w:sz w:val="24"/>
          <w:szCs w:val="24"/>
        </w:rPr>
        <w:t>responsible f</w:t>
      </w:r>
      <w:r w:rsidR="00B61E62" w:rsidRPr="001A62CB">
        <w:rPr>
          <w:sz w:val="24"/>
          <w:szCs w:val="24"/>
        </w:rPr>
        <w:t>or the development of</w:t>
      </w:r>
      <w:r w:rsidR="006B2357">
        <w:rPr>
          <w:sz w:val="24"/>
          <w:szCs w:val="24"/>
        </w:rPr>
        <w:t xml:space="preserve"> </w:t>
      </w:r>
      <w:r w:rsidR="00B61E62" w:rsidRPr="001A62CB">
        <w:rPr>
          <w:sz w:val="24"/>
          <w:szCs w:val="24"/>
        </w:rPr>
        <w:t>HR policy.</w:t>
      </w:r>
      <w:r w:rsidR="006B2357">
        <w:rPr>
          <w:sz w:val="24"/>
          <w:szCs w:val="24"/>
        </w:rPr>
        <w:t xml:space="preserve"> </w:t>
      </w:r>
      <w:r w:rsidR="004F6A67" w:rsidRPr="001A62CB">
        <w:rPr>
          <w:sz w:val="24"/>
          <w:szCs w:val="24"/>
        </w:rPr>
        <w:t xml:space="preserve">Individual </w:t>
      </w:r>
      <w:r w:rsidR="00597A93">
        <w:rPr>
          <w:sz w:val="24"/>
          <w:szCs w:val="24"/>
        </w:rPr>
        <w:t>D</w:t>
      </w:r>
      <w:r w:rsidR="004F6A67" w:rsidRPr="001A62CB">
        <w:rPr>
          <w:sz w:val="24"/>
          <w:szCs w:val="24"/>
        </w:rPr>
        <w:t>epartments/</w:t>
      </w:r>
      <w:r w:rsidR="00597A93">
        <w:rPr>
          <w:sz w:val="24"/>
          <w:szCs w:val="24"/>
        </w:rPr>
        <w:t>M</w:t>
      </w:r>
      <w:r w:rsidR="004F6A67" w:rsidRPr="001A62CB">
        <w:rPr>
          <w:sz w:val="24"/>
          <w:szCs w:val="24"/>
        </w:rPr>
        <w:t>inistries are then responsible for the implementation of this p</w:t>
      </w:r>
      <w:r w:rsidR="00932D1F" w:rsidRPr="001A62CB">
        <w:rPr>
          <w:sz w:val="24"/>
          <w:szCs w:val="24"/>
        </w:rPr>
        <w:t>olicy in respect of their staff</w:t>
      </w:r>
      <w:r w:rsidR="004547AB" w:rsidRPr="001A62CB">
        <w:rPr>
          <w:sz w:val="24"/>
          <w:szCs w:val="24"/>
        </w:rPr>
        <w:t>:</w:t>
      </w:r>
      <w:r w:rsidR="00B61E62" w:rsidRPr="001A62CB">
        <w:rPr>
          <w:sz w:val="24"/>
          <w:szCs w:val="24"/>
        </w:rPr>
        <w:t xml:space="preserve"> </w:t>
      </w:r>
    </w:p>
    <w:p w:rsidR="00932D1F" w:rsidRPr="001A62CB" w:rsidRDefault="00932D1F" w:rsidP="003E4FC2">
      <w:pPr>
        <w:spacing w:after="0" w:line="240" w:lineRule="auto"/>
        <w:ind w:left="360"/>
        <w:jc w:val="both"/>
        <w:rPr>
          <w:sz w:val="24"/>
          <w:szCs w:val="24"/>
        </w:rPr>
      </w:pPr>
    </w:p>
    <w:p w:rsidR="00932D1F" w:rsidRDefault="00B61E62" w:rsidP="003E4FC2">
      <w:pPr>
        <w:spacing w:after="0" w:line="240" w:lineRule="auto"/>
        <w:ind w:left="1080"/>
        <w:jc w:val="both"/>
        <w:rPr>
          <w:sz w:val="24"/>
          <w:szCs w:val="24"/>
        </w:rPr>
      </w:pPr>
      <w:r w:rsidRPr="006F6242">
        <w:rPr>
          <w:sz w:val="24"/>
          <w:szCs w:val="24"/>
        </w:rPr>
        <w:t xml:space="preserve">In </w:t>
      </w:r>
      <w:r w:rsidRPr="006F6242">
        <w:rPr>
          <w:b/>
          <w:sz w:val="24"/>
          <w:szCs w:val="24"/>
        </w:rPr>
        <w:t>France</w:t>
      </w:r>
      <w:r w:rsidRPr="006F6242">
        <w:rPr>
          <w:sz w:val="24"/>
          <w:szCs w:val="24"/>
        </w:rPr>
        <w:t>, for example, the Directorate General for Administration and the Civil Service is responsible for the development of HR po</w:t>
      </w:r>
      <w:r w:rsidR="00DC3D82">
        <w:rPr>
          <w:sz w:val="24"/>
          <w:szCs w:val="24"/>
        </w:rPr>
        <w:t xml:space="preserve">licy, while each </w:t>
      </w:r>
      <w:r w:rsidR="00597A93">
        <w:rPr>
          <w:sz w:val="24"/>
          <w:szCs w:val="24"/>
        </w:rPr>
        <w:t>M</w:t>
      </w:r>
      <w:r w:rsidR="00DC3D82">
        <w:rPr>
          <w:sz w:val="24"/>
          <w:szCs w:val="24"/>
        </w:rPr>
        <w:t>inistry has a</w:t>
      </w:r>
      <w:r w:rsidRPr="006F6242">
        <w:rPr>
          <w:sz w:val="24"/>
          <w:szCs w:val="24"/>
        </w:rPr>
        <w:t xml:space="preserve"> HR </w:t>
      </w:r>
      <w:r w:rsidR="000D5C09">
        <w:rPr>
          <w:sz w:val="24"/>
          <w:szCs w:val="24"/>
        </w:rPr>
        <w:t>D</w:t>
      </w:r>
      <w:r w:rsidRPr="006F6242">
        <w:rPr>
          <w:sz w:val="24"/>
          <w:szCs w:val="24"/>
        </w:rPr>
        <w:t xml:space="preserve">irectorate </w:t>
      </w:r>
      <w:r w:rsidR="00DC3D82">
        <w:rPr>
          <w:sz w:val="24"/>
          <w:szCs w:val="24"/>
        </w:rPr>
        <w:t>responsible for</w:t>
      </w:r>
      <w:r w:rsidR="001C0366">
        <w:rPr>
          <w:sz w:val="24"/>
          <w:szCs w:val="24"/>
        </w:rPr>
        <w:t xml:space="preserve"> implementation</w:t>
      </w:r>
      <w:r w:rsidR="00DC3D82">
        <w:rPr>
          <w:sz w:val="24"/>
          <w:szCs w:val="24"/>
        </w:rPr>
        <w:t>.</w:t>
      </w:r>
      <w:r w:rsidR="001C0366">
        <w:rPr>
          <w:sz w:val="24"/>
          <w:szCs w:val="24"/>
        </w:rPr>
        <w:t xml:space="preserve"> </w:t>
      </w:r>
    </w:p>
    <w:p w:rsidR="00DC3D82" w:rsidRDefault="00DC3D82" w:rsidP="003E4FC2">
      <w:pPr>
        <w:spacing w:after="0" w:line="240" w:lineRule="auto"/>
        <w:ind w:left="1080"/>
        <w:jc w:val="both"/>
        <w:rPr>
          <w:sz w:val="24"/>
          <w:szCs w:val="24"/>
        </w:rPr>
      </w:pPr>
    </w:p>
    <w:p w:rsidR="00932D1F" w:rsidRDefault="00B61E62" w:rsidP="003E4FC2">
      <w:pPr>
        <w:spacing w:after="0" w:line="240" w:lineRule="auto"/>
        <w:ind w:left="1080"/>
        <w:jc w:val="both"/>
        <w:rPr>
          <w:sz w:val="24"/>
          <w:szCs w:val="24"/>
        </w:rPr>
      </w:pPr>
      <w:r w:rsidRPr="006F6242">
        <w:rPr>
          <w:sz w:val="24"/>
          <w:szCs w:val="24"/>
        </w:rPr>
        <w:t xml:space="preserve">In </w:t>
      </w:r>
      <w:r w:rsidRPr="006F6242">
        <w:rPr>
          <w:b/>
          <w:sz w:val="24"/>
          <w:szCs w:val="24"/>
        </w:rPr>
        <w:t>Germany</w:t>
      </w:r>
      <w:r w:rsidRPr="006F6242">
        <w:rPr>
          <w:sz w:val="24"/>
          <w:szCs w:val="24"/>
        </w:rPr>
        <w:t xml:space="preserve">, the Federal Ministry of </w:t>
      </w:r>
      <w:r w:rsidR="000F7791" w:rsidRPr="006F6242">
        <w:rPr>
          <w:sz w:val="24"/>
          <w:szCs w:val="24"/>
        </w:rPr>
        <w:t xml:space="preserve">the </w:t>
      </w:r>
      <w:r w:rsidRPr="006F6242">
        <w:rPr>
          <w:sz w:val="24"/>
          <w:szCs w:val="24"/>
        </w:rPr>
        <w:t xml:space="preserve">Interior is responsible for regulations governing the Public Service, while the execution of these regulations is the responsibility of each </w:t>
      </w:r>
      <w:r w:rsidR="000D5C09">
        <w:rPr>
          <w:sz w:val="24"/>
          <w:szCs w:val="24"/>
        </w:rPr>
        <w:t>M</w:t>
      </w:r>
      <w:r w:rsidRPr="006F6242">
        <w:rPr>
          <w:sz w:val="24"/>
          <w:szCs w:val="24"/>
        </w:rPr>
        <w:t>inistry.</w:t>
      </w:r>
      <w:r w:rsidR="00084BA2" w:rsidRPr="006F6242">
        <w:rPr>
          <w:sz w:val="24"/>
          <w:szCs w:val="24"/>
        </w:rPr>
        <w:t xml:space="preserve">  </w:t>
      </w:r>
    </w:p>
    <w:p w:rsidR="00DC3D82" w:rsidRDefault="00DC3D82" w:rsidP="003E4FC2">
      <w:pPr>
        <w:spacing w:after="0" w:line="240" w:lineRule="auto"/>
        <w:ind w:left="1080"/>
        <w:jc w:val="both"/>
        <w:rPr>
          <w:sz w:val="24"/>
          <w:szCs w:val="24"/>
        </w:rPr>
      </w:pPr>
    </w:p>
    <w:p w:rsidR="00932D1F" w:rsidRDefault="00084BA2" w:rsidP="003E4FC2">
      <w:pPr>
        <w:spacing w:after="0" w:line="240" w:lineRule="auto"/>
        <w:ind w:left="1080"/>
        <w:jc w:val="both"/>
        <w:rPr>
          <w:sz w:val="24"/>
          <w:szCs w:val="24"/>
        </w:rPr>
      </w:pPr>
      <w:r w:rsidRPr="006F6242">
        <w:rPr>
          <w:sz w:val="24"/>
          <w:szCs w:val="24"/>
        </w:rPr>
        <w:t xml:space="preserve">In </w:t>
      </w:r>
      <w:r w:rsidRPr="006F6242">
        <w:rPr>
          <w:b/>
          <w:sz w:val="24"/>
          <w:szCs w:val="24"/>
        </w:rPr>
        <w:t>Greece</w:t>
      </w:r>
      <w:r w:rsidRPr="006F6242">
        <w:rPr>
          <w:sz w:val="24"/>
          <w:szCs w:val="24"/>
        </w:rPr>
        <w:t>, the Ministry of Administrative Reform and e-Gov</w:t>
      </w:r>
      <w:r w:rsidR="000F7791" w:rsidRPr="006F6242">
        <w:rPr>
          <w:sz w:val="24"/>
          <w:szCs w:val="24"/>
        </w:rPr>
        <w:t>ernment has this responsibility</w:t>
      </w:r>
      <w:r w:rsidR="00932D1F" w:rsidRPr="006F6242">
        <w:rPr>
          <w:sz w:val="24"/>
          <w:szCs w:val="24"/>
        </w:rPr>
        <w:t>.</w:t>
      </w:r>
    </w:p>
    <w:p w:rsidR="00DC3D82" w:rsidRDefault="00DC3D82" w:rsidP="003E4FC2">
      <w:pPr>
        <w:spacing w:after="0" w:line="240" w:lineRule="auto"/>
        <w:ind w:left="1080"/>
        <w:jc w:val="both"/>
        <w:rPr>
          <w:sz w:val="24"/>
          <w:szCs w:val="24"/>
        </w:rPr>
      </w:pPr>
    </w:p>
    <w:p w:rsidR="000D42AC" w:rsidRPr="006F6242" w:rsidRDefault="00932D1F" w:rsidP="003E4FC2">
      <w:pPr>
        <w:spacing w:after="0" w:line="240" w:lineRule="auto"/>
        <w:ind w:left="1080"/>
        <w:jc w:val="both"/>
        <w:rPr>
          <w:sz w:val="24"/>
          <w:szCs w:val="24"/>
        </w:rPr>
      </w:pPr>
      <w:r w:rsidRPr="006F6242">
        <w:rPr>
          <w:sz w:val="24"/>
          <w:szCs w:val="24"/>
        </w:rPr>
        <w:t>In</w:t>
      </w:r>
      <w:r w:rsidR="00084BA2" w:rsidRPr="006F6242">
        <w:rPr>
          <w:sz w:val="24"/>
          <w:szCs w:val="24"/>
        </w:rPr>
        <w:t xml:space="preserve"> </w:t>
      </w:r>
      <w:r w:rsidR="00084BA2" w:rsidRPr="006F6242">
        <w:rPr>
          <w:b/>
          <w:sz w:val="24"/>
          <w:szCs w:val="24"/>
        </w:rPr>
        <w:t xml:space="preserve">Ireland, </w:t>
      </w:r>
      <w:r w:rsidR="00084BA2" w:rsidRPr="006F6242">
        <w:rPr>
          <w:sz w:val="24"/>
          <w:szCs w:val="24"/>
        </w:rPr>
        <w:t xml:space="preserve">the </w:t>
      </w:r>
      <w:r w:rsidR="005E2BA7" w:rsidRPr="006F6242">
        <w:rPr>
          <w:sz w:val="24"/>
          <w:szCs w:val="24"/>
        </w:rPr>
        <w:t xml:space="preserve">newly formed </w:t>
      </w:r>
      <w:r w:rsidR="00084BA2" w:rsidRPr="006F6242">
        <w:rPr>
          <w:sz w:val="24"/>
          <w:szCs w:val="24"/>
        </w:rPr>
        <w:t>Department o</w:t>
      </w:r>
      <w:r w:rsidRPr="006F6242">
        <w:rPr>
          <w:sz w:val="24"/>
          <w:szCs w:val="24"/>
        </w:rPr>
        <w:t xml:space="preserve">f Public Expenditure and Reform has </w:t>
      </w:r>
      <w:r w:rsidR="005E2BA7" w:rsidRPr="006F6242">
        <w:rPr>
          <w:sz w:val="24"/>
          <w:szCs w:val="24"/>
        </w:rPr>
        <w:t>taken over</w:t>
      </w:r>
      <w:r w:rsidRPr="006F6242">
        <w:rPr>
          <w:sz w:val="24"/>
          <w:szCs w:val="24"/>
        </w:rPr>
        <w:t xml:space="preserve"> responsibility</w:t>
      </w:r>
      <w:r w:rsidR="00CB5D34">
        <w:rPr>
          <w:sz w:val="24"/>
          <w:szCs w:val="24"/>
        </w:rPr>
        <w:t xml:space="preserve"> for matters relating to the Civil S</w:t>
      </w:r>
      <w:r w:rsidR="005E2BA7" w:rsidRPr="006F6242">
        <w:rPr>
          <w:sz w:val="24"/>
          <w:szCs w:val="24"/>
        </w:rPr>
        <w:t xml:space="preserve">ervice previously under the Department of Finance and has </w:t>
      </w:r>
      <w:r w:rsidR="00CA74E2" w:rsidRPr="006F6242">
        <w:rPr>
          <w:sz w:val="24"/>
          <w:szCs w:val="24"/>
        </w:rPr>
        <w:t>overall</w:t>
      </w:r>
      <w:r w:rsidR="005E2BA7" w:rsidRPr="006F6242">
        <w:rPr>
          <w:sz w:val="24"/>
          <w:szCs w:val="24"/>
        </w:rPr>
        <w:t xml:space="preserve"> responsibility for unifying terms and condi</w:t>
      </w:r>
      <w:r w:rsidR="00CA74E2" w:rsidRPr="006F6242">
        <w:rPr>
          <w:sz w:val="24"/>
          <w:szCs w:val="24"/>
        </w:rPr>
        <w:t>tions across the public service</w:t>
      </w:r>
      <w:r w:rsidR="005E2BA7" w:rsidRPr="006F6242">
        <w:rPr>
          <w:sz w:val="24"/>
          <w:szCs w:val="24"/>
        </w:rPr>
        <w:t>.</w:t>
      </w:r>
    </w:p>
    <w:p w:rsidR="00E50D13" w:rsidRPr="001A62CB" w:rsidRDefault="00E50D13" w:rsidP="009F1F7E">
      <w:pPr>
        <w:spacing w:after="0" w:line="240" w:lineRule="auto"/>
        <w:jc w:val="both"/>
        <w:rPr>
          <w:sz w:val="24"/>
          <w:szCs w:val="24"/>
        </w:rPr>
      </w:pPr>
    </w:p>
    <w:p w:rsidR="00EC539D" w:rsidRPr="00CB5D34" w:rsidRDefault="00CB5D34" w:rsidP="00CB5D34">
      <w:pPr>
        <w:jc w:val="both"/>
        <w:rPr>
          <w:sz w:val="24"/>
          <w:szCs w:val="24"/>
        </w:rPr>
      </w:pPr>
      <w:r>
        <w:rPr>
          <w:b/>
          <w:sz w:val="24"/>
          <w:szCs w:val="24"/>
        </w:rPr>
        <w:lastRenderedPageBreak/>
        <w:t xml:space="preserve">6.  </w:t>
      </w:r>
      <w:r w:rsidR="001C0366" w:rsidRPr="00CF7FE4">
        <w:rPr>
          <w:b/>
          <w:sz w:val="24"/>
          <w:szCs w:val="24"/>
        </w:rPr>
        <w:t>REFORMS IMPLEM</w:t>
      </w:r>
      <w:r w:rsidR="00D14479" w:rsidRPr="00CF7FE4">
        <w:rPr>
          <w:b/>
          <w:sz w:val="24"/>
          <w:szCs w:val="24"/>
        </w:rPr>
        <w:t>E</w:t>
      </w:r>
      <w:r w:rsidR="001C0366" w:rsidRPr="00CF7FE4">
        <w:rPr>
          <w:b/>
          <w:sz w:val="24"/>
          <w:szCs w:val="24"/>
        </w:rPr>
        <w:t xml:space="preserve">NTED SINCE 2009 </w:t>
      </w:r>
    </w:p>
    <w:p w:rsidR="001839D7" w:rsidRPr="00CF7FE4" w:rsidRDefault="001839D7" w:rsidP="001839D7">
      <w:pPr>
        <w:pStyle w:val="ListParagraph"/>
        <w:spacing w:after="0" w:line="240" w:lineRule="auto"/>
        <w:jc w:val="both"/>
        <w:rPr>
          <w:b/>
          <w:sz w:val="24"/>
          <w:szCs w:val="24"/>
        </w:rPr>
      </w:pPr>
    </w:p>
    <w:p w:rsidR="00EC539D" w:rsidRPr="00CF7FE4" w:rsidRDefault="00E2727A" w:rsidP="00E2727A">
      <w:pPr>
        <w:pStyle w:val="ListParagraph"/>
        <w:spacing w:after="0" w:line="240" w:lineRule="auto"/>
        <w:ind w:left="0"/>
        <w:jc w:val="both"/>
        <w:rPr>
          <w:b/>
          <w:i/>
          <w:sz w:val="24"/>
          <w:szCs w:val="24"/>
        </w:rPr>
      </w:pPr>
      <w:proofErr w:type="gramStart"/>
      <w:r>
        <w:rPr>
          <w:b/>
          <w:i/>
          <w:sz w:val="24"/>
          <w:szCs w:val="24"/>
        </w:rPr>
        <w:t>a</w:t>
      </w:r>
      <w:proofErr w:type="gramEnd"/>
      <w:r>
        <w:rPr>
          <w:b/>
          <w:i/>
          <w:sz w:val="24"/>
          <w:szCs w:val="24"/>
        </w:rPr>
        <w:t xml:space="preserve">. </w:t>
      </w:r>
      <w:r w:rsidR="0095721B" w:rsidRPr="00CF7FE4">
        <w:rPr>
          <w:b/>
          <w:i/>
          <w:sz w:val="24"/>
          <w:szCs w:val="24"/>
        </w:rPr>
        <w:t xml:space="preserve">General Terms and Conditions of Service </w:t>
      </w:r>
    </w:p>
    <w:p w:rsidR="00DC3D82" w:rsidRDefault="00DC3D82" w:rsidP="003E4FC2">
      <w:pPr>
        <w:spacing w:after="0" w:line="240" w:lineRule="auto"/>
        <w:ind w:left="426"/>
        <w:jc w:val="both"/>
        <w:rPr>
          <w:b/>
          <w:sz w:val="24"/>
          <w:szCs w:val="24"/>
        </w:rPr>
      </w:pPr>
    </w:p>
    <w:p w:rsidR="00EC539D" w:rsidRPr="008574D3" w:rsidRDefault="001C0366" w:rsidP="008574D3">
      <w:pPr>
        <w:spacing w:after="0" w:line="240" w:lineRule="auto"/>
        <w:ind w:left="1146" w:firstLine="294"/>
        <w:jc w:val="both"/>
        <w:rPr>
          <w:b/>
          <w:sz w:val="20"/>
          <w:szCs w:val="20"/>
        </w:rPr>
      </w:pPr>
      <w:r w:rsidRPr="008574D3">
        <w:rPr>
          <w:b/>
          <w:sz w:val="20"/>
          <w:szCs w:val="20"/>
        </w:rPr>
        <w:t>Figure 1.</w:t>
      </w:r>
      <w:r w:rsidR="00307E3D" w:rsidRPr="008574D3">
        <w:rPr>
          <w:b/>
          <w:sz w:val="20"/>
          <w:szCs w:val="20"/>
        </w:rPr>
        <w:t>7</w:t>
      </w:r>
      <w:r w:rsidRPr="008574D3">
        <w:rPr>
          <w:b/>
          <w:sz w:val="20"/>
          <w:szCs w:val="20"/>
        </w:rPr>
        <w:t>:</w:t>
      </w:r>
      <w:r w:rsidRPr="008574D3">
        <w:rPr>
          <w:b/>
          <w:sz w:val="20"/>
          <w:szCs w:val="20"/>
        </w:rPr>
        <w:tab/>
      </w:r>
      <w:r w:rsidR="00EC539D" w:rsidRPr="008574D3">
        <w:rPr>
          <w:b/>
          <w:sz w:val="20"/>
          <w:szCs w:val="20"/>
        </w:rPr>
        <w:t>General Terms and Conditions of Service</w:t>
      </w:r>
      <w:r w:rsidRPr="008574D3">
        <w:rPr>
          <w:b/>
          <w:sz w:val="20"/>
          <w:szCs w:val="20"/>
        </w:rPr>
        <w:t xml:space="preserve"> across EUPAN Member States</w:t>
      </w:r>
    </w:p>
    <w:p w:rsidR="00EC539D" w:rsidRPr="001A62CB" w:rsidRDefault="00EC539D" w:rsidP="003E4FC2">
      <w:pPr>
        <w:spacing w:after="0" w:line="240" w:lineRule="auto"/>
        <w:jc w:val="both"/>
        <w:rPr>
          <w:sz w:val="24"/>
          <w:szCs w:val="24"/>
        </w:rPr>
      </w:pPr>
    </w:p>
    <w:p w:rsidR="00870469" w:rsidRPr="001A62CB" w:rsidRDefault="00E2727A" w:rsidP="003E4FC2">
      <w:pPr>
        <w:spacing w:after="0" w:line="240" w:lineRule="auto"/>
        <w:ind w:left="709"/>
        <w:jc w:val="both"/>
        <w:rPr>
          <w:sz w:val="24"/>
          <w:szCs w:val="24"/>
        </w:rPr>
      </w:pPr>
      <w:r>
        <w:rPr>
          <w:noProof/>
          <w:sz w:val="24"/>
          <w:szCs w:val="24"/>
          <w:lang w:val="en-US"/>
        </w:rPr>
        <w:drawing>
          <wp:inline distT="0" distB="0" distL="0" distR="0" wp14:anchorId="6291DFC3" wp14:editId="11422977">
            <wp:extent cx="4914900" cy="2105025"/>
            <wp:effectExtent l="0" t="0" r="0" b="0"/>
            <wp:docPr id="58" name="Object 5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70469" w:rsidRPr="001A62CB" w:rsidRDefault="00870469" w:rsidP="003E4FC2">
      <w:pPr>
        <w:spacing w:after="0" w:line="240" w:lineRule="auto"/>
        <w:jc w:val="both"/>
        <w:rPr>
          <w:sz w:val="24"/>
          <w:szCs w:val="24"/>
        </w:rPr>
      </w:pPr>
    </w:p>
    <w:p w:rsidR="000D5C09" w:rsidRPr="001A62CB" w:rsidRDefault="00AE1824" w:rsidP="000D5C09">
      <w:pPr>
        <w:spacing w:after="0" w:line="240" w:lineRule="auto"/>
        <w:ind w:left="720"/>
        <w:jc w:val="both"/>
        <w:rPr>
          <w:sz w:val="24"/>
          <w:szCs w:val="24"/>
        </w:rPr>
      </w:pPr>
      <w:r>
        <w:rPr>
          <w:sz w:val="24"/>
          <w:szCs w:val="24"/>
        </w:rPr>
        <w:t>Twenty two Member States responded to this question.</w:t>
      </w:r>
      <w:r w:rsidR="000D5C09" w:rsidRPr="000D5C09">
        <w:rPr>
          <w:sz w:val="24"/>
          <w:szCs w:val="24"/>
        </w:rPr>
        <w:t xml:space="preserve"> </w:t>
      </w:r>
      <w:r w:rsidR="000D5C09">
        <w:rPr>
          <w:sz w:val="24"/>
          <w:szCs w:val="24"/>
        </w:rPr>
        <w:t xml:space="preserve">Ten Member States reported </w:t>
      </w:r>
      <w:r w:rsidR="000D5C09" w:rsidRPr="001A62CB">
        <w:rPr>
          <w:sz w:val="24"/>
          <w:szCs w:val="24"/>
        </w:rPr>
        <w:t>changes to the general terms and conditions of service since 2009</w:t>
      </w:r>
      <w:r w:rsidR="000D5C09">
        <w:rPr>
          <w:sz w:val="24"/>
          <w:szCs w:val="24"/>
        </w:rPr>
        <w:t xml:space="preserve"> </w:t>
      </w:r>
      <w:r w:rsidR="000D5C09" w:rsidRPr="001A62CB">
        <w:rPr>
          <w:sz w:val="24"/>
          <w:szCs w:val="24"/>
        </w:rPr>
        <w:t>(</w:t>
      </w:r>
      <w:r w:rsidR="000D5C09" w:rsidRPr="001A62CB">
        <w:rPr>
          <w:b/>
          <w:sz w:val="24"/>
          <w:szCs w:val="24"/>
        </w:rPr>
        <w:t xml:space="preserve">Belgium, Bulgaria, Cyprus, Estonia, </w:t>
      </w:r>
      <w:r w:rsidR="000D5C09">
        <w:rPr>
          <w:b/>
          <w:sz w:val="24"/>
          <w:szCs w:val="24"/>
        </w:rPr>
        <w:t xml:space="preserve">Germany, </w:t>
      </w:r>
      <w:r w:rsidR="000D5C09" w:rsidRPr="001A62CB">
        <w:rPr>
          <w:b/>
          <w:sz w:val="24"/>
          <w:szCs w:val="24"/>
        </w:rPr>
        <w:t>Hungary, Latvia,</w:t>
      </w:r>
      <w:r w:rsidR="000D5C09">
        <w:rPr>
          <w:b/>
          <w:sz w:val="24"/>
          <w:szCs w:val="24"/>
        </w:rPr>
        <w:t xml:space="preserve"> </w:t>
      </w:r>
      <w:r w:rsidR="000D5C09" w:rsidRPr="001A62CB">
        <w:rPr>
          <w:b/>
          <w:sz w:val="24"/>
          <w:szCs w:val="24"/>
        </w:rPr>
        <w:t xml:space="preserve">Luxembourg, Malta, </w:t>
      </w:r>
      <w:r w:rsidR="000D5C09">
        <w:rPr>
          <w:b/>
          <w:sz w:val="24"/>
          <w:szCs w:val="24"/>
        </w:rPr>
        <w:t>and Slovakia</w:t>
      </w:r>
      <w:r w:rsidR="000D5C09" w:rsidRPr="00E2727A">
        <w:rPr>
          <w:sz w:val="24"/>
          <w:szCs w:val="24"/>
        </w:rPr>
        <w:t>)</w:t>
      </w:r>
      <w:r w:rsidR="000D5C09">
        <w:rPr>
          <w:sz w:val="24"/>
          <w:szCs w:val="24"/>
        </w:rPr>
        <w:t xml:space="preserve">.  Examples of changes to non-pay terms and conditions include: </w:t>
      </w:r>
      <w:r w:rsidR="000D5C09" w:rsidRPr="001A62CB">
        <w:rPr>
          <w:sz w:val="24"/>
          <w:szCs w:val="24"/>
        </w:rPr>
        <w:t xml:space="preserve"> </w:t>
      </w:r>
    </w:p>
    <w:p w:rsidR="00932D1F" w:rsidRPr="001A62CB" w:rsidRDefault="00932D1F" w:rsidP="003E4FC2">
      <w:pPr>
        <w:spacing w:after="0" w:line="240" w:lineRule="auto"/>
        <w:ind w:left="720"/>
        <w:jc w:val="both"/>
        <w:rPr>
          <w:sz w:val="24"/>
          <w:szCs w:val="24"/>
        </w:rPr>
      </w:pPr>
    </w:p>
    <w:p w:rsidR="007B346E" w:rsidRDefault="007E7993" w:rsidP="00DA574D">
      <w:pPr>
        <w:spacing w:after="0" w:line="240" w:lineRule="auto"/>
        <w:ind w:left="1134"/>
        <w:jc w:val="both"/>
        <w:rPr>
          <w:sz w:val="24"/>
          <w:szCs w:val="24"/>
        </w:rPr>
      </w:pPr>
      <w:r w:rsidRPr="006F6242">
        <w:rPr>
          <w:sz w:val="24"/>
          <w:szCs w:val="24"/>
        </w:rPr>
        <w:t>In</w:t>
      </w:r>
      <w:r w:rsidRPr="006F6242">
        <w:rPr>
          <w:b/>
          <w:sz w:val="24"/>
          <w:szCs w:val="24"/>
        </w:rPr>
        <w:t xml:space="preserve"> Belgium</w:t>
      </w:r>
      <w:r w:rsidRPr="006F6242">
        <w:rPr>
          <w:sz w:val="24"/>
          <w:szCs w:val="24"/>
        </w:rPr>
        <w:t xml:space="preserve">, </w:t>
      </w:r>
      <w:r w:rsidR="00932D1F" w:rsidRPr="006F6242">
        <w:rPr>
          <w:sz w:val="24"/>
          <w:szCs w:val="24"/>
        </w:rPr>
        <w:t xml:space="preserve">an important reform of the career system </w:t>
      </w:r>
      <w:r w:rsidR="00DC3D82" w:rsidRPr="006F6242">
        <w:rPr>
          <w:sz w:val="24"/>
          <w:szCs w:val="24"/>
        </w:rPr>
        <w:t xml:space="preserve">is </w:t>
      </w:r>
      <w:r w:rsidR="00DC3D82">
        <w:rPr>
          <w:sz w:val="24"/>
          <w:szCs w:val="24"/>
        </w:rPr>
        <w:t>currently</w:t>
      </w:r>
      <w:r w:rsidR="001A2083">
        <w:rPr>
          <w:sz w:val="24"/>
          <w:szCs w:val="24"/>
        </w:rPr>
        <w:t xml:space="preserve"> in </w:t>
      </w:r>
      <w:r w:rsidR="00DC3D82">
        <w:rPr>
          <w:sz w:val="24"/>
          <w:szCs w:val="24"/>
        </w:rPr>
        <w:t>train.</w:t>
      </w:r>
      <w:r w:rsidR="0037767F" w:rsidRPr="006F6242">
        <w:rPr>
          <w:sz w:val="24"/>
          <w:szCs w:val="24"/>
        </w:rPr>
        <w:t xml:space="preserve">  </w:t>
      </w:r>
      <w:r w:rsidR="00932D1F" w:rsidRPr="006F6242">
        <w:rPr>
          <w:sz w:val="24"/>
          <w:szCs w:val="24"/>
        </w:rPr>
        <w:t>The existing system of “certified trainings” which gave a bonus to civil servants who passed certain tests is to</w:t>
      </w:r>
      <w:r w:rsidR="00DC3D82">
        <w:rPr>
          <w:sz w:val="24"/>
          <w:szCs w:val="24"/>
        </w:rPr>
        <w:t xml:space="preserve"> be </w:t>
      </w:r>
      <w:r w:rsidR="001A2083">
        <w:rPr>
          <w:sz w:val="24"/>
          <w:szCs w:val="24"/>
        </w:rPr>
        <w:t>t</w:t>
      </w:r>
      <w:r w:rsidR="00DC3D82">
        <w:rPr>
          <w:sz w:val="24"/>
          <w:szCs w:val="24"/>
        </w:rPr>
        <w:t xml:space="preserve">erminated. </w:t>
      </w:r>
      <w:r w:rsidR="00932D1F" w:rsidRPr="006F6242">
        <w:rPr>
          <w:sz w:val="24"/>
          <w:szCs w:val="24"/>
        </w:rPr>
        <w:t>This system will be replaced by career progression based on a mix of results assessment and seniority.</w:t>
      </w:r>
      <w:r w:rsidR="007B346E" w:rsidRPr="006F6242">
        <w:rPr>
          <w:sz w:val="24"/>
          <w:szCs w:val="24"/>
        </w:rPr>
        <w:t xml:space="preserve"> </w:t>
      </w:r>
    </w:p>
    <w:p w:rsidR="000B0893" w:rsidRPr="007B346E" w:rsidRDefault="000B0893" w:rsidP="00DA574D">
      <w:pPr>
        <w:spacing w:after="0" w:line="240" w:lineRule="auto"/>
        <w:ind w:left="1134"/>
        <w:jc w:val="both"/>
        <w:rPr>
          <w:sz w:val="20"/>
          <w:szCs w:val="20"/>
        </w:rPr>
      </w:pPr>
    </w:p>
    <w:p w:rsidR="00965430" w:rsidRPr="00980EE6" w:rsidRDefault="00D15191" w:rsidP="00DA574D">
      <w:pPr>
        <w:ind w:left="1134"/>
        <w:jc w:val="both"/>
        <w:rPr>
          <w:rFonts w:cs="Calibri"/>
          <w:sz w:val="24"/>
          <w:szCs w:val="24"/>
        </w:rPr>
      </w:pPr>
      <w:r>
        <w:rPr>
          <w:rFonts w:cs="Calibri"/>
          <w:sz w:val="24"/>
          <w:szCs w:val="24"/>
        </w:rPr>
        <w:t xml:space="preserve">There have been changes in the </w:t>
      </w:r>
      <w:r w:rsidR="00965430" w:rsidRPr="00980EE6">
        <w:rPr>
          <w:rFonts w:cs="Calibri"/>
          <w:sz w:val="24"/>
          <w:szCs w:val="24"/>
        </w:rPr>
        <w:t xml:space="preserve">Public Law status </w:t>
      </w:r>
      <w:r w:rsidR="00CD2FB4">
        <w:rPr>
          <w:rFonts w:cs="Calibri"/>
          <w:sz w:val="24"/>
          <w:szCs w:val="24"/>
        </w:rPr>
        <w:t>of</w:t>
      </w:r>
      <w:r w:rsidR="00965430" w:rsidRPr="00980EE6">
        <w:rPr>
          <w:rFonts w:cs="Calibri"/>
          <w:sz w:val="24"/>
          <w:szCs w:val="24"/>
        </w:rPr>
        <w:t xml:space="preserve"> civil servants in a number of Member States including </w:t>
      </w:r>
      <w:r w:rsidR="00965430" w:rsidRPr="00980EE6">
        <w:rPr>
          <w:rFonts w:cs="Calibri"/>
          <w:b/>
          <w:sz w:val="24"/>
          <w:szCs w:val="24"/>
        </w:rPr>
        <w:t>Bulgaria,</w:t>
      </w:r>
      <w:r w:rsidR="00965430" w:rsidRPr="00980EE6">
        <w:rPr>
          <w:rFonts w:cs="Calibri"/>
          <w:sz w:val="24"/>
          <w:szCs w:val="24"/>
        </w:rPr>
        <w:t xml:space="preserve"> </w:t>
      </w:r>
      <w:r w:rsidR="00965430" w:rsidRPr="00980EE6">
        <w:rPr>
          <w:rFonts w:cs="Calibri"/>
          <w:b/>
          <w:sz w:val="24"/>
          <w:szCs w:val="24"/>
        </w:rPr>
        <w:t xml:space="preserve">Estonia </w:t>
      </w:r>
      <w:r w:rsidR="00965430" w:rsidRPr="00980EE6">
        <w:rPr>
          <w:rFonts w:cs="Calibri"/>
          <w:sz w:val="24"/>
          <w:szCs w:val="24"/>
        </w:rPr>
        <w:t xml:space="preserve">and </w:t>
      </w:r>
      <w:r w:rsidR="00965430" w:rsidRPr="00980EE6">
        <w:rPr>
          <w:rFonts w:cs="Calibri"/>
          <w:b/>
          <w:sz w:val="24"/>
          <w:szCs w:val="24"/>
        </w:rPr>
        <w:t>Hungar</w:t>
      </w:r>
      <w:r w:rsidR="00D671C3">
        <w:rPr>
          <w:rFonts w:cs="Calibri"/>
          <w:b/>
          <w:sz w:val="24"/>
          <w:szCs w:val="24"/>
        </w:rPr>
        <w:t>y.</w:t>
      </w:r>
    </w:p>
    <w:p w:rsidR="00965430" w:rsidRPr="00980EE6" w:rsidRDefault="00CB5D34" w:rsidP="00DA574D">
      <w:pPr>
        <w:pStyle w:val="ListParagraph"/>
        <w:spacing w:after="0" w:line="240" w:lineRule="auto"/>
        <w:ind w:left="1134"/>
        <w:jc w:val="both"/>
        <w:rPr>
          <w:rFonts w:cs="Calibri"/>
          <w:sz w:val="24"/>
          <w:szCs w:val="24"/>
        </w:rPr>
      </w:pPr>
      <w:r>
        <w:rPr>
          <w:rFonts w:cs="Calibri"/>
          <w:sz w:val="24"/>
          <w:szCs w:val="24"/>
        </w:rPr>
        <w:t>I</w:t>
      </w:r>
      <w:r w:rsidR="007B346E" w:rsidRPr="00980EE6">
        <w:rPr>
          <w:rFonts w:cs="Calibri"/>
          <w:sz w:val="24"/>
          <w:szCs w:val="24"/>
        </w:rPr>
        <w:t xml:space="preserve">n </w:t>
      </w:r>
      <w:r w:rsidR="007B346E" w:rsidRPr="00D14479">
        <w:rPr>
          <w:rFonts w:cs="Calibri"/>
          <w:b/>
          <w:sz w:val="24"/>
          <w:szCs w:val="24"/>
        </w:rPr>
        <w:t>Bulgaria</w:t>
      </w:r>
      <w:r w:rsidR="007B346E" w:rsidRPr="00980EE6">
        <w:rPr>
          <w:rFonts w:cs="Calibri"/>
          <w:sz w:val="24"/>
          <w:szCs w:val="24"/>
        </w:rPr>
        <w:t>, a new performance appraisal model linked to the attainment of individual goals, administrative unit goals and administration goals has been introduced. It includes self-evaluation and peer review by colleagues</w:t>
      </w:r>
      <w:r w:rsidR="00D671C3">
        <w:rPr>
          <w:rFonts w:cs="Calibri"/>
          <w:sz w:val="24"/>
          <w:szCs w:val="24"/>
        </w:rPr>
        <w:t>.</w:t>
      </w:r>
    </w:p>
    <w:p w:rsidR="00965430" w:rsidRPr="00980EE6" w:rsidRDefault="00965430" w:rsidP="00DA574D">
      <w:pPr>
        <w:pStyle w:val="ListParagraph"/>
        <w:spacing w:after="0" w:line="240" w:lineRule="auto"/>
        <w:ind w:left="1134"/>
        <w:jc w:val="both"/>
        <w:rPr>
          <w:rFonts w:cs="Calibri"/>
          <w:sz w:val="24"/>
          <w:szCs w:val="24"/>
        </w:rPr>
      </w:pPr>
    </w:p>
    <w:p w:rsidR="00965430" w:rsidRPr="00980EE6" w:rsidRDefault="007B346E" w:rsidP="00DA574D">
      <w:pPr>
        <w:pStyle w:val="ListParagraph"/>
        <w:spacing w:after="0" w:line="240" w:lineRule="auto"/>
        <w:ind w:left="1134"/>
        <w:jc w:val="both"/>
        <w:rPr>
          <w:rFonts w:cs="Calibri"/>
          <w:sz w:val="24"/>
          <w:szCs w:val="24"/>
        </w:rPr>
      </w:pPr>
      <w:r w:rsidRPr="00980EE6">
        <w:rPr>
          <w:rFonts w:cs="Calibri"/>
          <w:sz w:val="24"/>
          <w:szCs w:val="24"/>
        </w:rPr>
        <w:t xml:space="preserve">Flexible working hours have been </w:t>
      </w:r>
      <w:r w:rsidR="00965430" w:rsidRPr="00980EE6">
        <w:rPr>
          <w:rFonts w:cs="Calibri"/>
          <w:sz w:val="24"/>
          <w:szCs w:val="24"/>
        </w:rPr>
        <w:t>introduced in a number of Member State</w:t>
      </w:r>
      <w:r w:rsidR="0088357A">
        <w:rPr>
          <w:rFonts w:cs="Calibri"/>
          <w:sz w:val="24"/>
          <w:szCs w:val="24"/>
        </w:rPr>
        <w:t xml:space="preserve">s including </w:t>
      </w:r>
      <w:r w:rsidR="0088357A" w:rsidRPr="00D14479">
        <w:rPr>
          <w:rFonts w:cs="Calibri"/>
          <w:b/>
          <w:sz w:val="24"/>
          <w:szCs w:val="24"/>
        </w:rPr>
        <w:t>Bulgaria</w:t>
      </w:r>
      <w:r w:rsidR="0088357A">
        <w:rPr>
          <w:rFonts w:cs="Calibri"/>
          <w:sz w:val="24"/>
          <w:szCs w:val="24"/>
        </w:rPr>
        <w:t xml:space="preserve"> and </w:t>
      </w:r>
      <w:r w:rsidR="0088357A" w:rsidRPr="00D14479">
        <w:rPr>
          <w:rFonts w:cs="Calibri"/>
          <w:b/>
          <w:sz w:val="24"/>
          <w:szCs w:val="24"/>
        </w:rPr>
        <w:t>Cyprus</w:t>
      </w:r>
      <w:r w:rsidR="00E2727A">
        <w:rPr>
          <w:rFonts w:cs="Calibri"/>
          <w:b/>
          <w:sz w:val="24"/>
          <w:szCs w:val="24"/>
        </w:rPr>
        <w:t>.</w:t>
      </w:r>
    </w:p>
    <w:p w:rsidR="0088357A" w:rsidRDefault="0088357A" w:rsidP="00DA574D">
      <w:pPr>
        <w:spacing w:after="0" w:line="240" w:lineRule="auto"/>
        <w:ind w:left="1134"/>
        <w:jc w:val="both"/>
        <w:rPr>
          <w:rFonts w:cs="Calibri"/>
          <w:sz w:val="24"/>
          <w:szCs w:val="24"/>
        </w:rPr>
      </w:pPr>
    </w:p>
    <w:p w:rsidR="007B346E" w:rsidRPr="00980EE6" w:rsidRDefault="00965430" w:rsidP="00DA574D">
      <w:pPr>
        <w:spacing w:after="0" w:line="240" w:lineRule="auto"/>
        <w:ind w:left="1134"/>
        <w:jc w:val="both"/>
        <w:rPr>
          <w:rFonts w:cs="Calibri"/>
          <w:sz w:val="24"/>
          <w:szCs w:val="24"/>
        </w:rPr>
      </w:pPr>
      <w:r w:rsidRPr="00980EE6">
        <w:rPr>
          <w:rFonts w:cs="Calibri"/>
          <w:sz w:val="24"/>
          <w:szCs w:val="24"/>
        </w:rPr>
        <w:t xml:space="preserve">Greater mobility and redeployment arrangements have been introduced in </w:t>
      </w:r>
      <w:r w:rsidRPr="00257991">
        <w:rPr>
          <w:rFonts w:cs="Calibri"/>
          <w:b/>
          <w:sz w:val="24"/>
          <w:szCs w:val="24"/>
        </w:rPr>
        <w:t>Greece</w:t>
      </w:r>
      <w:r w:rsidRPr="00980EE6">
        <w:rPr>
          <w:rFonts w:cs="Calibri"/>
          <w:sz w:val="24"/>
          <w:szCs w:val="24"/>
        </w:rPr>
        <w:t xml:space="preserve"> and </w:t>
      </w:r>
      <w:r w:rsidRPr="00257991">
        <w:rPr>
          <w:rFonts w:cs="Calibri"/>
          <w:b/>
          <w:sz w:val="24"/>
          <w:szCs w:val="24"/>
        </w:rPr>
        <w:t>Ireland</w:t>
      </w:r>
      <w:r w:rsidR="00D15191">
        <w:rPr>
          <w:rFonts w:cs="Calibri"/>
          <w:sz w:val="24"/>
          <w:szCs w:val="24"/>
        </w:rPr>
        <w:t xml:space="preserve">. </w:t>
      </w:r>
      <w:r w:rsidR="00D15191" w:rsidRPr="00980EE6">
        <w:rPr>
          <w:rFonts w:cs="Calibri"/>
          <w:sz w:val="24"/>
          <w:szCs w:val="24"/>
        </w:rPr>
        <w:t xml:space="preserve"> </w:t>
      </w:r>
    </w:p>
    <w:p w:rsidR="0088357A" w:rsidRDefault="0088357A" w:rsidP="003E4FC2">
      <w:pPr>
        <w:spacing w:after="0" w:line="240" w:lineRule="auto"/>
        <w:ind w:left="1080"/>
        <w:jc w:val="both"/>
        <w:rPr>
          <w:sz w:val="24"/>
          <w:szCs w:val="24"/>
        </w:rPr>
      </w:pPr>
    </w:p>
    <w:p w:rsidR="00932D1F" w:rsidRPr="006F6242" w:rsidRDefault="0037767F" w:rsidP="00DA574D">
      <w:pPr>
        <w:spacing w:after="0" w:line="240" w:lineRule="auto"/>
        <w:ind w:left="1134"/>
        <w:jc w:val="both"/>
        <w:rPr>
          <w:sz w:val="24"/>
          <w:szCs w:val="24"/>
        </w:rPr>
      </w:pPr>
      <w:r w:rsidRPr="006F6242">
        <w:rPr>
          <w:sz w:val="24"/>
          <w:szCs w:val="24"/>
        </w:rPr>
        <w:t xml:space="preserve">In </w:t>
      </w:r>
      <w:r w:rsidRPr="006F6242">
        <w:rPr>
          <w:b/>
          <w:sz w:val="24"/>
          <w:szCs w:val="24"/>
        </w:rPr>
        <w:t>Germany</w:t>
      </w:r>
      <w:r w:rsidRPr="006F6242">
        <w:rPr>
          <w:sz w:val="24"/>
          <w:szCs w:val="24"/>
        </w:rPr>
        <w:t xml:space="preserve">, amendments to the law governing Federal Service careers </w:t>
      </w:r>
      <w:r w:rsidR="00E17C45" w:rsidRPr="006F6242">
        <w:rPr>
          <w:sz w:val="24"/>
          <w:szCs w:val="24"/>
        </w:rPr>
        <w:t>will</w:t>
      </w:r>
      <w:r w:rsidRPr="006F6242">
        <w:rPr>
          <w:sz w:val="24"/>
          <w:szCs w:val="24"/>
        </w:rPr>
        <w:t xml:space="preserve"> strengthen </w:t>
      </w:r>
      <w:r w:rsidR="00257991" w:rsidRPr="006F6242">
        <w:rPr>
          <w:sz w:val="24"/>
          <w:szCs w:val="24"/>
        </w:rPr>
        <w:t>the</w:t>
      </w:r>
      <w:r w:rsidR="00257991">
        <w:rPr>
          <w:sz w:val="24"/>
          <w:szCs w:val="24"/>
        </w:rPr>
        <w:t xml:space="preserve"> </w:t>
      </w:r>
      <w:r w:rsidR="00257991" w:rsidRPr="006F6242">
        <w:rPr>
          <w:sz w:val="24"/>
          <w:szCs w:val="24"/>
        </w:rPr>
        <w:t>requirements</w:t>
      </w:r>
      <w:r w:rsidR="00A1264F">
        <w:rPr>
          <w:sz w:val="24"/>
          <w:szCs w:val="24"/>
        </w:rPr>
        <w:t xml:space="preserve"> for </w:t>
      </w:r>
      <w:r w:rsidR="00257991">
        <w:rPr>
          <w:sz w:val="24"/>
          <w:szCs w:val="24"/>
        </w:rPr>
        <w:t xml:space="preserve">securing </w:t>
      </w:r>
      <w:r w:rsidR="00257991" w:rsidRPr="006F6242">
        <w:rPr>
          <w:sz w:val="24"/>
          <w:szCs w:val="24"/>
        </w:rPr>
        <w:t>life</w:t>
      </w:r>
      <w:r w:rsidRPr="006F6242">
        <w:rPr>
          <w:sz w:val="24"/>
          <w:szCs w:val="24"/>
        </w:rPr>
        <w:t xml:space="preserve"> tenure and </w:t>
      </w:r>
      <w:r w:rsidR="00565687" w:rsidRPr="006F6242">
        <w:rPr>
          <w:sz w:val="24"/>
          <w:szCs w:val="24"/>
        </w:rPr>
        <w:t xml:space="preserve">will </w:t>
      </w:r>
      <w:r w:rsidR="00E17C45" w:rsidRPr="006F6242">
        <w:rPr>
          <w:sz w:val="24"/>
          <w:szCs w:val="24"/>
        </w:rPr>
        <w:t>make</w:t>
      </w:r>
      <w:r w:rsidRPr="006F6242">
        <w:rPr>
          <w:sz w:val="24"/>
          <w:szCs w:val="24"/>
        </w:rPr>
        <w:t xml:space="preserve"> it possible to promote high performers during probation. </w:t>
      </w:r>
      <w:r w:rsidR="00B71477" w:rsidRPr="006F6242">
        <w:rPr>
          <w:sz w:val="24"/>
          <w:szCs w:val="24"/>
        </w:rPr>
        <w:t xml:space="preserve"> </w:t>
      </w:r>
    </w:p>
    <w:p w:rsidR="00446F7C" w:rsidRPr="00446F7C" w:rsidRDefault="00446F7C" w:rsidP="00DA574D">
      <w:pPr>
        <w:spacing w:after="0" w:line="240" w:lineRule="auto"/>
        <w:ind w:left="1134"/>
        <w:jc w:val="both"/>
        <w:rPr>
          <w:sz w:val="24"/>
          <w:szCs w:val="24"/>
        </w:rPr>
      </w:pPr>
    </w:p>
    <w:p w:rsidR="00446F7C" w:rsidRPr="006F6242" w:rsidRDefault="008E0F51" w:rsidP="00DA574D">
      <w:pPr>
        <w:spacing w:after="0" w:line="240" w:lineRule="auto"/>
        <w:ind w:left="1134"/>
        <w:jc w:val="both"/>
        <w:rPr>
          <w:sz w:val="24"/>
          <w:szCs w:val="24"/>
        </w:rPr>
      </w:pPr>
      <w:r w:rsidRPr="006F6242">
        <w:rPr>
          <w:sz w:val="24"/>
          <w:szCs w:val="24"/>
        </w:rPr>
        <w:t xml:space="preserve">In </w:t>
      </w:r>
      <w:r w:rsidRPr="006F6242">
        <w:rPr>
          <w:b/>
          <w:sz w:val="24"/>
          <w:szCs w:val="24"/>
        </w:rPr>
        <w:t>Malta</w:t>
      </w:r>
      <w:r w:rsidRPr="006F6242">
        <w:rPr>
          <w:sz w:val="24"/>
          <w:szCs w:val="24"/>
        </w:rPr>
        <w:t>, there have been a number of changes</w:t>
      </w:r>
      <w:r w:rsidR="00A1264F">
        <w:rPr>
          <w:sz w:val="24"/>
          <w:szCs w:val="24"/>
        </w:rPr>
        <w:t xml:space="preserve">: for example </w:t>
      </w:r>
      <w:r w:rsidRPr="006F6242">
        <w:rPr>
          <w:sz w:val="24"/>
          <w:szCs w:val="24"/>
        </w:rPr>
        <w:t xml:space="preserve">fixed-term contracts now become indefinite after four </w:t>
      </w:r>
      <w:r w:rsidR="00257991" w:rsidRPr="006F6242">
        <w:rPr>
          <w:sz w:val="24"/>
          <w:szCs w:val="24"/>
        </w:rPr>
        <w:t>years’ service</w:t>
      </w:r>
      <w:r w:rsidR="006B2357">
        <w:rPr>
          <w:sz w:val="24"/>
          <w:szCs w:val="24"/>
        </w:rPr>
        <w:t>. In</w:t>
      </w:r>
      <w:r w:rsidRPr="006F6242">
        <w:rPr>
          <w:sz w:val="24"/>
          <w:szCs w:val="24"/>
        </w:rPr>
        <w:t xml:space="preserve"> cases of resignati</w:t>
      </w:r>
      <w:r w:rsidR="006B2357">
        <w:rPr>
          <w:sz w:val="24"/>
          <w:szCs w:val="24"/>
        </w:rPr>
        <w:t xml:space="preserve">on </w:t>
      </w:r>
      <w:r w:rsidR="006B2357">
        <w:rPr>
          <w:sz w:val="24"/>
          <w:szCs w:val="24"/>
        </w:rPr>
        <w:lastRenderedPageBreak/>
        <w:t xml:space="preserve">or termination of employment, </w:t>
      </w:r>
      <w:r w:rsidRPr="006F6242">
        <w:rPr>
          <w:sz w:val="24"/>
          <w:szCs w:val="24"/>
        </w:rPr>
        <w:t>employees are now entitled to a notice period proportionate to the length of their service.</w:t>
      </w:r>
    </w:p>
    <w:p w:rsidR="00446F7C" w:rsidRDefault="00446F7C" w:rsidP="00DA574D">
      <w:pPr>
        <w:pStyle w:val="ListParagraph"/>
        <w:spacing w:after="0" w:line="240" w:lineRule="auto"/>
        <w:ind w:left="1134"/>
        <w:jc w:val="both"/>
        <w:rPr>
          <w:sz w:val="24"/>
          <w:szCs w:val="24"/>
        </w:rPr>
      </w:pPr>
    </w:p>
    <w:p w:rsidR="007B346E" w:rsidRPr="006F6242" w:rsidRDefault="007B346E" w:rsidP="00DA574D">
      <w:pPr>
        <w:spacing w:after="0" w:line="240" w:lineRule="auto"/>
        <w:ind w:left="1134"/>
        <w:jc w:val="both"/>
        <w:rPr>
          <w:sz w:val="24"/>
          <w:szCs w:val="24"/>
        </w:rPr>
      </w:pPr>
      <w:r w:rsidRPr="006F6242">
        <w:rPr>
          <w:sz w:val="24"/>
          <w:szCs w:val="24"/>
        </w:rPr>
        <w:t xml:space="preserve">In </w:t>
      </w:r>
      <w:r w:rsidRPr="006F6242">
        <w:rPr>
          <w:b/>
          <w:sz w:val="24"/>
          <w:szCs w:val="24"/>
        </w:rPr>
        <w:t>Slovakia</w:t>
      </w:r>
      <w:r w:rsidRPr="006F6242">
        <w:rPr>
          <w:sz w:val="24"/>
          <w:szCs w:val="24"/>
        </w:rPr>
        <w:t xml:space="preserve">, </w:t>
      </w:r>
      <w:r w:rsidR="00A1264F">
        <w:rPr>
          <w:sz w:val="24"/>
          <w:szCs w:val="24"/>
        </w:rPr>
        <w:t xml:space="preserve">the 2009 </w:t>
      </w:r>
      <w:r w:rsidRPr="006F6242">
        <w:rPr>
          <w:sz w:val="24"/>
          <w:szCs w:val="24"/>
        </w:rPr>
        <w:t xml:space="preserve">Civil Service Act </w:t>
      </w:r>
      <w:r w:rsidR="00A1264F">
        <w:rPr>
          <w:sz w:val="24"/>
          <w:szCs w:val="24"/>
        </w:rPr>
        <w:t xml:space="preserve">introduced </w:t>
      </w:r>
      <w:r w:rsidRPr="006F6242">
        <w:rPr>
          <w:sz w:val="24"/>
          <w:szCs w:val="24"/>
        </w:rPr>
        <w:t xml:space="preserve">service contract, stronger protection of civil servant status (employment stability), a more flexible legal framework for professional education, the abolition of yearly performance assessment connected to financial evaluation of civil servants and </w:t>
      </w:r>
      <w:r w:rsidR="00446F7C" w:rsidRPr="006F6242">
        <w:rPr>
          <w:sz w:val="24"/>
          <w:szCs w:val="24"/>
        </w:rPr>
        <w:t xml:space="preserve">the </w:t>
      </w:r>
      <w:r w:rsidR="00E2727A" w:rsidRPr="006F6242">
        <w:rPr>
          <w:sz w:val="24"/>
          <w:szCs w:val="24"/>
        </w:rPr>
        <w:t xml:space="preserve">introduction </w:t>
      </w:r>
      <w:r w:rsidR="00E2727A">
        <w:rPr>
          <w:sz w:val="24"/>
          <w:szCs w:val="24"/>
        </w:rPr>
        <w:t>of</w:t>
      </w:r>
      <w:r w:rsidR="000D5C09">
        <w:rPr>
          <w:sz w:val="24"/>
          <w:szCs w:val="24"/>
        </w:rPr>
        <w:t xml:space="preserve"> </w:t>
      </w:r>
      <w:r w:rsidR="00446F7C" w:rsidRPr="006F6242">
        <w:rPr>
          <w:sz w:val="24"/>
          <w:szCs w:val="24"/>
        </w:rPr>
        <w:t>t</w:t>
      </w:r>
      <w:r w:rsidR="00965430" w:rsidRPr="006F6242">
        <w:rPr>
          <w:sz w:val="24"/>
          <w:szCs w:val="24"/>
        </w:rPr>
        <w:t>ele</w:t>
      </w:r>
      <w:r w:rsidRPr="006F6242">
        <w:rPr>
          <w:sz w:val="24"/>
          <w:szCs w:val="24"/>
        </w:rPr>
        <w:t>work and home office work</w:t>
      </w:r>
      <w:r w:rsidR="00E92D5A">
        <w:rPr>
          <w:sz w:val="24"/>
          <w:szCs w:val="24"/>
        </w:rPr>
        <w:t>.</w:t>
      </w:r>
    </w:p>
    <w:p w:rsidR="00EA6F84" w:rsidRPr="001A62CB" w:rsidRDefault="00EA6F84" w:rsidP="00DA574D">
      <w:pPr>
        <w:spacing w:after="0" w:line="240" w:lineRule="auto"/>
        <w:ind w:left="1134"/>
        <w:jc w:val="both"/>
        <w:rPr>
          <w:sz w:val="24"/>
          <w:szCs w:val="24"/>
        </w:rPr>
      </w:pPr>
    </w:p>
    <w:p w:rsidR="00E2727A" w:rsidRDefault="00E2727A" w:rsidP="00E2727A">
      <w:pPr>
        <w:jc w:val="both"/>
        <w:rPr>
          <w:sz w:val="24"/>
          <w:szCs w:val="24"/>
        </w:rPr>
      </w:pPr>
    </w:p>
    <w:p w:rsidR="00EC539D" w:rsidRPr="00E2727A" w:rsidRDefault="00CF7FE4" w:rsidP="00E2727A">
      <w:pPr>
        <w:jc w:val="both"/>
        <w:rPr>
          <w:sz w:val="24"/>
          <w:szCs w:val="24"/>
        </w:rPr>
      </w:pPr>
      <w:r>
        <w:rPr>
          <w:b/>
          <w:i/>
          <w:sz w:val="24"/>
          <w:szCs w:val="24"/>
        </w:rPr>
        <w:t xml:space="preserve">b. </w:t>
      </w:r>
      <w:r w:rsidR="0095721B">
        <w:rPr>
          <w:b/>
          <w:i/>
          <w:sz w:val="24"/>
          <w:szCs w:val="24"/>
        </w:rPr>
        <w:t>(</w:t>
      </w:r>
      <w:proofErr w:type="spellStart"/>
      <w:r w:rsidR="0095721B">
        <w:rPr>
          <w:b/>
          <w:i/>
          <w:sz w:val="24"/>
          <w:szCs w:val="24"/>
        </w:rPr>
        <w:t>i</w:t>
      </w:r>
      <w:proofErr w:type="spellEnd"/>
      <w:r w:rsidR="0095721B" w:rsidRPr="006F6242">
        <w:rPr>
          <w:b/>
          <w:i/>
          <w:sz w:val="24"/>
          <w:szCs w:val="24"/>
        </w:rPr>
        <w:t>)</w:t>
      </w:r>
      <w:r w:rsidR="0095721B">
        <w:rPr>
          <w:b/>
          <w:i/>
          <w:sz w:val="24"/>
          <w:szCs w:val="24"/>
        </w:rPr>
        <w:tab/>
      </w:r>
      <w:r w:rsidR="00C9503D" w:rsidRPr="006F6242">
        <w:rPr>
          <w:b/>
          <w:i/>
          <w:sz w:val="24"/>
          <w:szCs w:val="24"/>
        </w:rPr>
        <w:t xml:space="preserve">Rates of Pay </w:t>
      </w:r>
    </w:p>
    <w:p w:rsidR="0095721B" w:rsidRDefault="0095721B" w:rsidP="003E4FC2">
      <w:pPr>
        <w:spacing w:after="0" w:line="240" w:lineRule="auto"/>
        <w:jc w:val="both"/>
        <w:rPr>
          <w:b/>
          <w:i/>
          <w:sz w:val="24"/>
          <w:szCs w:val="24"/>
        </w:rPr>
      </w:pPr>
    </w:p>
    <w:p w:rsidR="0095721B" w:rsidRPr="00E2727A" w:rsidRDefault="00307E3D" w:rsidP="00E2727A">
      <w:pPr>
        <w:spacing w:after="0" w:line="240" w:lineRule="auto"/>
        <w:ind w:left="720" w:firstLine="720"/>
        <w:jc w:val="both"/>
        <w:rPr>
          <w:b/>
          <w:sz w:val="20"/>
          <w:szCs w:val="20"/>
        </w:rPr>
      </w:pPr>
      <w:r w:rsidRPr="00E2727A">
        <w:rPr>
          <w:b/>
          <w:sz w:val="20"/>
          <w:szCs w:val="20"/>
        </w:rPr>
        <w:t>Figure 1.8</w:t>
      </w:r>
      <w:r w:rsidR="00AB3631" w:rsidRPr="00E2727A">
        <w:rPr>
          <w:b/>
          <w:sz w:val="20"/>
          <w:szCs w:val="20"/>
        </w:rPr>
        <w:t>:</w:t>
      </w:r>
      <w:r w:rsidR="00AB3631" w:rsidRPr="00E2727A">
        <w:rPr>
          <w:b/>
          <w:sz w:val="20"/>
          <w:szCs w:val="20"/>
        </w:rPr>
        <w:tab/>
        <w:t>Rates of Pay a</w:t>
      </w:r>
      <w:r w:rsidR="0095721B" w:rsidRPr="00E2727A">
        <w:rPr>
          <w:b/>
          <w:sz w:val="20"/>
          <w:szCs w:val="20"/>
        </w:rPr>
        <w:t>cross EUPAN Member States</w:t>
      </w:r>
      <w:r w:rsidR="00AB3631" w:rsidRPr="00E2727A">
        <w:rPr>
          <w:b/>
          <w:sz w:val="20"/>
          <w:szCs w:val="20"/>
        </w:rPr>
        <w:t xml:space="preserve"> –</w:t>
      </w:r>
      <w:r w:rsidR="00E2727A" w:rsidRPr="00E2727A">
        <w:rPr>
          <w:b/>
          <w:sz w:val="20"/>
          <w:szCs w:val="20"/>
        </w:rPr>
        <w:t xml:space="preserve"> 2012</w:t>
      </w:r>
      <w:r w:rsidR="00AB3631" w:rsidRPr="00E2727A">
        <w:rPr>
          <w:b/>
          <w:sz w:val="20"/>
          <w:szCs w:val="20"/>
        </w:rPr>
        <w:t xml:space="preserve"> vs. 2006</w:t>
      </w:r>
    </w:p>
    <w:p w:rsidR="00EC539D" w:rsidRDefault="00EC539D" w:rsidP="003E4FC2">
      <w:pPr>
        <w:spacing w:after="0" w:line="240" w:lineRule="auto"/>
        <w:jc w:val="both"/>
        <w:rPr>
          <w:sz w:val="24"/>
          <w:szCs w:val="24"/>
        </w:rPr>
      </w:pPr>
    </w:p>
    <w:p w:rsidR="00B43DD4" w:rsidRDefault="00B43DD4" w:rsidP="00AD2E3E">
      <w:pPr>
        <w:spacing w:after="0" w:line="240" w:lineRule="auto"/>
        <w:ind w:left="709"/>
        <w:jc w:val="both"/>
        <w:rPr>
          <w:sz w:val="24"/>
          <w:szCs w:val="24"/>
        </w:rPr>
      </w:pPr>
      <w:r>
        <w:rPr>
          <w:noProof/>
          <w:sz w:val="24"/>
          <w:szCs w:val="24"/>
          <w:lang w:val="en-US"/>
        </w:rPr>
        <w:drawing>
          <wp:inline distT="0" distB="0" distL="0" distR="0">
            <wp:extent cx="5191125" cy="27717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C0D85" w:rsidRDefault="002C0D85" w:rsidP="009C1427">
      <w:pPr>
        <w:spacing w:after="0" w:line="240" w:lineRule="auto"/>
        <w:jc w:val="both"/>
        <w:rPr>
          <w:sz w:val="24"/>
          <w:szCs w:val="24"/>
        </w:rPr>
      </w:pPr>
    </w:p>
    <w:p w:rsidR="002C0D85" w:rsidRDefault="009C1427" w:rsidP="00E2727A">
      <w:pPr>
        <w:spacing w:after="0" w:line="240" w:lineRule="auto"/>
        <w:ind w:left="720"/>
        <w:jc w:val="both"/>
        <w:rPr>
          <w:sz w:val="24"/>
          <w:szCs w:val="24"/>
        </w:rPr>
      </w:pPr>
      <w:r>
        <w:rPr>
          <w:sz w:val="24"/>
          <w:szCs w:val="24"/>
        </w:rPr>
        <w:t>Twenty-four</w:t>
      </w:r>
      <w:r w:rsidR="002C44EE">
        <w:rPr>
          <w:sz w:val="24"/>
          <w:szCs w:val="24"/>
        </w:rPr>
        <w:t xml:space="preserve"> </w:t>
      </w:r>
      <w:r w:rsidR="00244736" w:rsidRPr="001A62CB">
        <w:rPr>
          <w:sz w:val="24"/>
          <w:szCs w:val="24"/>
        </w:rPr>
        <w:t>Member States</w:t>
      </w:r>
      <w:r w:rsidR="00E17C45" w:rsidRPr="001A62CB">
        <w:rPr>
          <w:sz w:val="24"/>
          <w:szCs w:val="24"/>
        </w:rPr>
        <w:t xml:space="preserve"> </w:t>
      </w:r>
      <w:r w:rsidR="00826165">
        <w:rPr>
          <w:sz w:val="24"/>
          <w:szCs w:val="24"/>
        </w:rPr>
        <w:t xml:space="preserve">responded to this question. </w:t>
      </w:r>
      <w:r w:rsidR="00176436">
        <w:rPr>
          <w:sz w:val="24"/>
          <w:szCs w:val="24"/>
        </w:rPr>
        <w:t xml:space="preserve"> </w:t>
      </w:r>
      <w:r w:rsidR="002C0D85">
        <w:rPr>
          <w:sz w:val="24"/>
          <w:szCs w:val="24"/>
        </w:rPr>
        <w:t xml:space="preserve">(As some Member States reported a combination of measures – for example both a pay freeze and a pay reduction – they are represented more than once in Figure 1.8.).  </w:t>
      </w:r>
    </w:p>
    <w:p w:rsidR="002C0D85" w:rsidRDefault="002C0D85" w:rsidP="00E2727A">
      <w:pPr>
        <w:spacing w:after="0" w:line="240" w:lineRule="auto"/>
        <w:ind w:left="720"/>
        <w:jc w:val="both"/>
        <w:rPr>
          <w:sz w:val="24"/>
          <w:szCs w:val="24"/>
        </w:rPr>
      </w:pPr>
    </w:p>
    <w:p w:rsidR="003E299F" w:rsidRDefault="003E299F" w:rsidP="003E4FC2">
      <w:pPr>
        <w:spacing w:after="0" w:line="240" w:lineRule="auto"/>
        <w:ind w:left="720"/>
        <w:jc w:val="both"/>
        <w:rPr>
          <w:sz w:val="24"/>
          <w:szCs w:val="24"/>
        </w:rPr>
      </w:pPr>
      <w:r>
        <w:rPr>
          <w:sz w:val="24"/>
          <w:szCs w:val="24"/>
        </w:rPr>
        <w:t>Ten</w:t>
      </w:r>
      <w:r w:rsidR="0095721B">
        <w:rPr>
          <w:sz w:val="24"/>
          <w:szCs w:val="24"/>
        </w:rPr>
        <w:t xml:space="preserve"> </w:t>
      </w:r>
      <w:r w:rsidR="005602A7">
        <w:rPr>
          <w:sz w:val="24"/>
          <w:szCs w:val="24"/>
        </w:rPr>
        <w:t xml:space="preserve">Member States </w:t>
      </w:r>
      <w:r w:rsidR="00E17C45" w:rsidRPr="001A62CB">
        <w:rPr>
          <w:sz w:val="24"/>
          <w:szCs w:val="24"/>
        </w:rPr>
        <w:t>(</w:t>
      </w:r>
      <w:r w:rsidR="00253133" w:rsidRPr="00541ED6">
        <w:rPr>
          <w:b/>
          <w:sz w:val="24"/>
          <w:szCs w:val="24"/>
        </w:rPr>
        <w:t>Bulgaria,</w:t>
      </w:r>
      <w:r w:rsidR="00253133">
        <w:rPr>
          <w:sz w:val="24"/>
          <w:szCs w:val="24"/>
        </w:rPr>
        <w:t xml:space="preserve"> </w:t>
      </w:r>
      <w:r w:rsidR="00E17C45" w:rsidRPr="001A62CB">
        <w:rPr>
          <w:b/>
          <w:sz w:val="24"/>
          <w:szCs w:val="24"/>
        </w:rPr>
        <w:t>Cyprus, the Czech Republic, Estonia, Greece, Ireland, Latvia, Lithuania, Po</w:t>
      </w:r>
      <w:r w:rsidR="00253133">
        <w:rPr>
          <w:b/>
          <w:sz w:val="24"/>
          <w:szCs w:val="24"/>
        </w:rPr>
        <w:t>land</w:t>
      </w:r>
      <w:r w:rsidR="00E17C45" w:rsidRPr="001A62CB">
        <w:rPr>
          <w:b/>
          <w:sz w:val="24"/>
          <w:szCs w:val="24"/>
        </w:rPr>
        <w:t xml:space="preserve">, Romania, </w:t>
      </w:r>
      <w:r w:rsidR="00087FC1">
        <w:rPr>
          <w:b/>
          <w:sz w:val="24"/>
          <w:szCs w:val="24"/>
        </w:rPr>
        <w:t xml:space="preserve">and </w:t>
      </w:r>
      <w:r w:rsidR="00BE020A">
        <w:rPr>
          <w:b/>
          <w:sz w:val="24"/>
          <w:szCs w:val="24"/>
        </w:rPr>
        <w:t>Slovenia</w:t>
      </w:r>
      <w:r w:rsidR="00E17C45" w:rsidRPr="001A62CB">
        <w:rPr>
          <w:sz w:val="24"/>
          <w:szCs w:val="24"/>
        </w:rPr>
        <w:t>)</w:t>
      </w:r>
      <w:r w:rsidR="008E74CE">
        <w:rPr>
          <w:sz w:val="24"/>
          <w:szCs w:val="24"/>
        </w:rPr>
        <w:t xml:space="preserve"> </w:t>
      </w:r>
      <w:r w:rsidR="000D5C09">
        <w:rPr>
          <w:sz w:val="24"/>
          <w:szCs w:val="24"/>
        </w:rPr>
        <w:t xml:space="preserve">reported </w:t>
      </w:r>
      <w:r w:rsidR="00257991">
        <w:rPr>
          <w:sz w:val="24"/>
          <w:szCs w:val="24"/>
        </w:rPr>
        <w:t xml:space="preserve">a </w:t>
      </w:r>
      <w:r w:rsidR="00257991" w:rsidRPr="001A62CB">
        <w:rPr>
          <w:sz w:val="24"/>
          <w:szCs w:val="24"/>
        </w:rPr>
        <w:t>reduction</w:t>
      </w:r>
      <w:r w:rsidR="00087FC1">
        <w:rPr>
          <w:sz w:val="24"/>
          <w:szCs w:val="24"/>
        </w:rPr>
        <w:t xml:space="preserve"> in</w:t>
      </w:r>
      <w:r w:rsidR="004547AB" w:rsidRPr="001A62CB">
        <w:rPr>
          <w:sz w:val="24"/>
          <w:szCs w:val="24"/>
        </w:rPr>
        <w:t xml:space="preserve"> rates of pay </w:t>
      </w:r>
    </w:p>
    <w:p w:rsidR="003E299F" w:rsidRDefault="003E299F" w:rsidP="003E4FC2">
      <w:pPr>
        <w:spacing w:after="0" w:line="240" w:lineRule="auto"/>
        <w:ind w:left="720"/>
        <w:jc w:val="both"/>
        <w:rPr>
          <w:sz w:val="24"/>
          <w:szCs w:val="24"/>
        </w:rPr>
      </w:pPr>
    </w:p>
    <w:p w:rsidR="00940F59" w:rsidRDefault="003E299F" w:rsidP="003E4FC2">
      <w:pPr>
        <w:spacing w:after="0" w:line="240" w:lineRule="auto"/>
        <w:ind w:left="720"/>
        <w:jc w:val="both"/>
        <w:rPr>
          <w:sz w:val="24"/>
          <w:szCs w:val="24"/>
        </w:rPr>
      </w:pPr>
      <w:r>
        <w:rPr>
          <w:sz w:val="24"/>
          <w:szCs w:val="24"/>
        </w:rPr>
        <w:t>Five Member States (</w:t>
      </w:r>
      <w:r w:rsidRPr="003E299F">
        <w:rPr>
          <w:b/>
          <w:sz w:val="24"/>
          <w:szCs w:val="24"/>
        </w:rPr>
        <w:t>Bulgaria, Cyprus, Lithuania, Poland and Slovenia</w:t>
      </w:r>
      <w:r>
        <w:rPr>
          <w:sz w:val="24"/>
          <w:szCs w:val="24"/>
        </w:rPr>
        <w:t>) reported</w:t>
      </w:r>
      <w:r w:rsidR="007C7B06">
        <w:rPr>
          <w:sz w:val="24"/>
          <w:szCs w:val="24"/>
        </w:rPr>
        <w:t xml:space="preserve"> the abolition</w:t>
      </w:r>
      <w:r>
        <w:rPr>
          <w:sz w:val="24"/>
          <w:szCs w:val="24"/>
        </w:rPr>
        <w:t xml:space="preserve"> or </w:t>
      </w:r>
      <w:r w:rsidR="007C7B06">
        <w:rPr>
          <w:sz w:val="24"/>
          <w:szCs w:val="24"/>
        </w:rPr>
        <w:t xml:space="preserve">reduction of </w:t>
      </w:r>
      <w:r w:rsidR="00253133">
        <w:rPr>
          <w:sz w:val="24"/>
          <w:szCs w:val="24"/>
        </w:rPr>
        <w:t>allowances/</w:t>
      </w:r>
      <w:r w:rsidR="00087FC1">
        <w:rPr>
          <w:sz w:val="24"/>
          <w:szCs w:val="24"/>
        </w:rPr>
        <w:t xml:space="preserve">bonuses </w:t>
      </w:r>
      <w:r w:rsidR="004547AB" w:rsidRPr="001A62CB">
        <w:rPr>
          <w:sz w:val="24"/>
          <w:szCs w:val="24"/>
        </w:rPr>
        <w:t>since 2009</w:t>
      </w:r>
      <w:r w:rsidR="00D0578C" w:rsidRPr="001A62CB">
        <w:rPr>
          <w:sz w:val="24"/>
          <w:szCs w:val="24"/>
        </w:rPr>
        <w:t xml:space="preserve">.  </w:t>
      </w:r>
    </w:p>
    <w:p w:rsidR="00940F59" w:rsidRDefault="00940F59" w:rsidP="003E4FC2">
      <w:pPr>
        <w:spacing w:after="0" w:line="240" w:lineRule="auto"/>
        <w:ind w:left="720"/>
        <w:jc w:val="both"/>
        <w:rPr>
          <w:sz w:val="24"/>
          <w:szCs w:val="24"/>
        </w:rPr>
      </w:pPr>
    </w:p>
    <w:p w:rsidR="00D14479" w:rsidRDefault="00541ED6" w:rsidP="003E4FC2">
      <w:pPr>
        <w:spacing w:after="0" w:line="240" w:lineRule="auto"/>
        <w:ind w:left="720"/>
        <w:jc w:val="both"/>
        <w:rPr>
          <w:sz w:val="24"/>
          <w:szCs w:val="24"/>
        </w:rPr>
      </w:pPr>
      <w:r>
        <w:rPr>
          <w:sz w:val="24"/>
          <w:szCs w:val="24"/>
        </w:rPr>
        <w:t>Five</w:t>
      </w:r>
      <w:r w:rsidR="0095721B">
        <w:rPr>
          <w:sz w:val="24"/>
          <w:szCs w:val="24"/>
        </w:rPr>
        <w:t xml:space="preserve"> </w:t>
      </w:r>
      <w:r w:rsidR="00087FC1">
        <w:rPr>
          <w:sz w:val="24"/>
          <w:szCs w:val="24"/>
        </w:rPr>
        <w:t xml:space="preserve">Member States </w:t>
      </w:r>
      <w:r w:rsidR="00087FC1" w:rsidRPr="00257991">
        <w:rPr>
          <w:sz w:val="24"/>
          <w:szCs w:val="24"/>
        </w:rPr>
        <w:t>(</w:t>
      </w:r>
      <w:r w:rsidRPr="00541ED6">
        <w:rPr>
          <w:b/>
          <w:sz w:val="24"/>
          <w:szCs w:val="24"/>
        </w:rPr>
        <w:t>Cyprus,</w:t>
      </w:r>
      <w:r>
        <w:rPr>
          <w:sz w:val="24"/>
          <w:szCs w:val="24"/>
        </w:rPr>
        <w:t xml:space="preserve"> </w:t>
      </w:r>
      <w:r w:rsidR="00087FC1" w:rsidRPr="001A62CB">
        <w:rPr>
          <w:b/>
          <w:sz w:val="24"/>
          <w:szCs w:val="24"/>
        </w:rPr>
        <w:t>France,</w:t>
      </w:r>
      <w:r w:rsidR="00087FC1" w:rsidRPr="00826165">
        <w:rPr>
          <w:b/>
          <w:sz w:val="24"/>
          <w:szCs w:val="24"/>
        </w:rPr>
        <w:t xml:space="preserve"> </w:t>
      </w:r>
      <w:r w:rsidR="00087FC1" w:rsidRPr="001A62CB">
        <w:rPr>
          <w:b/>
          <w:sz w:val="24"/>
          <w:szCs w:val="24"/>
        </w:rPr>
        <w:t>Hungary,</w:t>
      </w:r>
      <w:r w:rsidR="00087FC1" w:rsidRPr="00826165">
        <w:rPr>
          <w:b/>
          <w:sz w:val="24"/>
          <w:szCs w:val="24"/>
        </w:rPr>
        <w:t xml:space="preserve"> </w:t>
      </w:r>
      <w:r>
        <w:rPr>
          <w:b/>
          <w:sz w:val="24"/>
          <w:szCs w:val="24"/>
        </w:rPr>
        <w:t>Slovakia</w:t>
      </w:r>
      <w:r w:rsidR="00087FC1">
        <w:rPr>
          <w:b/>
          <w:sz w:val="24"/>
          <w:szCs w:val="24"/>
        </w:rPr>
        <w:t xml:space="preserve"> and the UK</w:t>
      </w:r>
      <w:r w:rsidR="00087FC1" w:rsidRPr="00257991">
        <w:rPr>
          <w:sz w:val="24"/>
          <w:szCs w:val="24"/>
        </w:rPr>
        <w:t>)</w:t>
      </w:r>
      <w:r w:rsidR="00087FC1" w:rsidRPr="001A62CB">
        <w:rPr>
          <w:b/>
          <w:sz w:val="24"/>
          <w:szCs w:val="24"/>
        </w:rPr>
        <w:t xml:space="preserve"> </w:t>
      </w:r>
      <w:r w:rsidR="00971C5C" w:rsidRPr="00971C5C">
        <w:rPr>
          <w:sz w:val="24"/>
          <w:szCs w:val="24"/>
        </w:rPr>
        <w:t>reported</w:t>
      </w:r>
      <w:r w:rsidR="00971C5C">
        <w:rPr>
          <w:b/>
          <w:sz w:val="24"/>
          <w:szCs w:val="24"/>
        </w:rPr>
        <w:t xml:space="preserve"> </w:t>
      </w:r>
      <w:r w:rsidR="00087FC1">
        <w:rPr>
          <w:sz w:val="24"/>
          <w:szCs w:val="24"/>
        </w:rPr>
        <w:t>pay freeze</w:t>
      </w:r>
      <w:r w:rsidR="000D5C09">
        <w:rPr>
          <w:sz w:val="24"/>
          <w:szCs w:val="24"/>
        </w:rPr>
        <w:t>s</w:t>
      </w:r>
      <w:r w:rsidR="00087FC1">
        <w:rPr>
          <w:sz w:val="24"/>
          <w:szCs w:val="24"/>
        </w:rPr>
        <w:t xml:space="preserve">. </w:t>
      </w:r>
    </w:p>
    <w:p w:rsidR="00D14479" w:rsidRDefault="00D14479" w:rsidP="003E4FC2">
      <w:pPr>
        <w:spacing w:after="0" w:line="240" w:lineRule="auto"/>
        <w:ind w:left="720"/>
        <w:jc w:val="both"/>
        <w:rPr>
          <w:sz w:val="24"/>
          <w:szCs w:val="24"/>
        </w:rPr>
      </w:pPr>
    </w:p>
    <w:p w:rsidR="00C9503D" w:rsidRDefault="00087FC1" w:rsidP="003E4FC2">
      <w:pPr>
        <w:spacing w:after="0" w:line="240" w:lineRule="auto"/>
        <w:ind w:left="720"/>
        <w:jc w:val="both"/>
        <w:rPr>
          <w:sz w:val="24"/>
          <w:szCs w:val="24"/>
        </w:rPr>
      </w:pPr>
      <w:r>
        <w:rPr>
          <w:sz w:val="24"/>
          <w:szCs w:val="24"/>
        </w:rPr>
        <w:t xml:space="preserve">Only </w:t>
      </w:r>
      <w:r w:rsidR="00541ED6">
        <w:rPr>
          <w:sz w:val="24"/>
          <w:szCs w:val="24"/>
        </w:rPr>
        <w:t>two</w:t>
      </w:r>
      <w:r>
        <w:rPr>
          <w:sz w:val="24"/>
          <w:szCs w:val="24"/>
        </w:rPr>
        <w:t xml:space="preserve"> Member </w:t>
      </w:r>
      <w:r w:rsidR="00BE020A">
        <w:rPr>
          <w:sz w:val="24"/>
          <w:szCs w:val="24"/>
        </w:rPr>
        <w:t>States (</w:t>
      </w:r>
      <w:r>
        <w:rPr>
          <w:b/>
          <w:sz w:val="24"/>
          <w:szCs w:val="24"/>
        </w:rPr>
        <w:t>Finland</w:t>
      </w:r>
      <w:r w:rsidR="00541ED6">
        <w:rPr>
          <w:b/>
          <w:sz w:val="24"/>
          <w:szCs w:val="24"/>
        </w:rPr>
        <w:t xml:space="preserve"> and </w:t>
      </w:r>
      <w:r>
        <w:rPr>
          <w:b/>
          <w:sz w:val="24"/>
          <w:szCs w:val="24"/>
        </w:rPr>
        <w:t>Malta</w:t>
      </w:r>
      <w:r w:rsidRPr="00A42BAD">
        <w:rPr>
          <w:sz w:val="24"/>
          <w:szCs w:val="24"/>
        </w:rPr>
        <w:t>)</w:t>
      </w:r>
      <w:r>
        <w:rPr>
          <w:b/>
          <w:sz w:val="24"/>
          <w:szCs w:val="24"/>
        </w:rPr>
        <w:t xml:space="preserve"> </w:t>
      </w:r>
      <w:r w:rsidR="00BE020A" w:rsidRPr="00BE020A">
        <w:rPr>
          <w:sz w:val="24"/>
          <w:szCs w:val="24"/>
        </w:rPr>
        <w:t>report</w:t>
      </w:r>
      <w:r w:rsidR="00125EE8">
        <w:rPr>
          <w:sz w:val="24"/>
          <w:szCs w:val="24"/>
        </w:rPr>
        <w:t>ed</w:t>
      </w:r>
      <w:r w:rsidR="00BE020A" w:rsidRPr="00BE020A">
        <w:rPr>
          <w:sz w:val="24"/>
          <w:szCs w:val="24"/>
        </w:rPr>
        <w:t xml:space="preserve"> increases in pay.</w:t>
      </w:r>
      <w:r w:rsidR="005602A7">
        <w:rPr>
          <w:sz w:val="24"/>
          <w:szCs w:val="24"/>
        </w:rPr>
        <w:t xml:space="preserve"> </w:t>
      </w:r>
    </w:p>
    <w:p w:rsidR="002C0D85" w:rsidRDefault="002C0D85" w:rsidP="003E4FC2">
      <w:pPr>
        <w:spacing w:after="0" w:line="240" w:lineRule="auto"/>
        <w:ind w:left="720"/>
        <w:jc w:val="both"/>
        <w:rPr>
          <w:sz w:val="24"/>
          <w:szCs w:val="24"/>
        </w:rPr>
      </w:pPr>
    </w:p>
    <w:p w:rsidR="002C0D85" w:rsidRDefault="00940F59" w:rsidP="003E4FC2">
      <w:pPr>
        <w:spacing w:after="0" w:line="240" w:lineRule="auto"/>
        <w:ind w:left="720"/>
        <w:jc w:val="both"/>
        <w:rPr>
          <w:sz w:val="24"/>
          <w:szCs w:val="24"/>
        </w:rPr>
      </w:pPr>
      <w:r>
        <w:rPr>
          <w:sz w:val="24"/>
          <w:szCs w:val="24"/>
        </w:rPr>
        <w:lastRenderedPageBreak/>
        <w:t>Nine Member States (</w:t>
      </w:r>
      <w:r w:rsidRPr="00940F59">
        <w:rPr>
          <w:b/>
          <w:sz w:val="24"/>
          <w:szCs w:val="24"/>
        </w:rPr>
        <w:t xml:space="preserve">Bulgaria, Finland, Germany, Greece, Italy, Portugal, </w:t>
      </w:r>
      <w:r w:rsidR="0085200D">
        <w:rPr>
          <w:b/>
          <w:sz w:val="24"/>
          <w:szCs w:val="24"/>
        </w:rPr>
        <w:t xml:space="preserve">Romania, </w:t>
      </w:r>
      <w:r w:rsidRPr="00940F59">
        <w:rPr>
          <w:b/>
          <w:sz w:val="24"/>
          <w:szCs w:val="24"/>
        </w:rPr>
        <w:t>Spain and the Netherlands</w:t>
      </w:r>
      <w:r>
        <w:rPr>
          <w:sz w:val="24"/>
          <w:szCs w:val="24"/>
        </w:rPr>
        <w:t xml:space="preserve">) </w:t>
      </w:r>
      <w:r w:rsidR="00E11035">
        <w:rPr>
          <w:sz w:val="24"/>
          <w:szCs w:val="24"/>
        </w:rPr>
        <w:t xml:space="preserve">reported a number of other </w:t>
      </w:r>
      <w:r w:rsidR="007C7B06">
        <w:rPr>
          <w:sz w:val="24"/>
          <w:szCs w:val="24"/>
        </w:rPr>
        <w:t>changes</w:t>
      </w:r>
      <w:r w:rsidR="00E11035">
        <w:rPr>
          <w:sz w:val="24"/>
          <w:szCs w:val="24"/>
        </w:rPr>
        <w:t xml:space="preserve"> </w:t>
      </w:r>
      <w:r>
        <w:rPr>
          <w:sz w:val="24"/>
          <w:szCs w:val="24"/>
        </w:rPr>
        <w:t xml:space="preserve">including the introduction of uniform pay </w:t>
      </w:r>
      <w:r w:rsidR="00013D74">
        <w:rPr>
          <w:sz w:val="24"/>
          <w:szCs w:val="24"/>
        </w:rPr>
        <w:t>scales</w:t>
      </w:r>
      <w:r w:rsidR="00E11035">
        <w:rPr>
          <w:sz w:val="24"/>
          <w:szCs w:val="24"/>
        </w:rPr>
        <w:t>, the introduction of</w:t>
      </w:r>
      <w:r>
        <w:rPr>
          <w:sz w:val="24"/>
          <w:szCs w:val="24"/>
        </w:rPr>
        <w:t xml:space="preserve"> performance-based pay systems</w:t>
      </w:r>
      <w:r w:rsidR="00E11035">
        <w:rPr>
          <w:sz w:val="24"/>
          <w:szCs w:val="24"/>
        </w:rPr>
        <w:t xml:space="preserve"> and developments in relation to pay-related collective bargaining.</w:t>
      </w:r>
    </w:p>
    <w:p w:rsidR="003C4135" w:rsidRDefault="003C4135" w:rsidP="003E4FC2">
      <w:pPr>
        <w:spacing w:after="0" w:line="240" w:lineRule="auto"/>
        <w:ind w:left="720"/>
        <w:jc w:val="both"/>
        <w:rPr>
          <w:sz w:val="24"/>
          <w:szCs w:val="24"/>
        </w:rPr>
      </w:pPr>
    </w:p>
    <w:p w:rsidR="003C4135" w:rsidRPr="00C9503D" w:rsidRDefault="003C4135" w:rsidP="003E4FC2">
      <w:pPr>
        <w:spacing w:after="0" w:line="240" w:lineRule="auto"/>
        <w:ind w:left="720"/>
        <w:jc w:val="both"/>
        <w:rPr>
          <w:sz w:val="24"/>
          <w:szCs w:val="24"/>
        </w:rPr>
      </w:pPr>
      <w:r>
        <w:rPr>
          <w:sz w:val="24"/>
          <w:szCs w:val="24"/>
        </w:rPr>
        <w:t>Two Member States (</w:t>
      </w:r>
      <w:r w:rsidRPr="003C4135">
        <w:rPr>
          <w:b/>
          <w:sz w:val="24"/>
          <w:szCs w:val="24"/>
        </w:rPr>
        <w:t>Austria and Denmark</w:t>
      </w:r>
      <w:r>
        <w:rPr>
          <w:sz w:val="24"/>
          <w:szCs w:val="24"/>
        </w:rPr>
        <w:t>) reported no major changes to rates of pay.</w:t>
      </w:r>
    </w:p>
    <w:p w:rsidR="00BE020A" w:rsidRDefault="00BE020A" w:rsidP="003E4FC2">
      <w:pPr>
        <w:spacing w:after="0" w:line="240" w:lineRule="auto"/>
        <w:ind w:left="720"/>
        <w:jc w:val="both"/>
        <w:rPr>
          <w:b/>
          <w:sz w:val="24"/>
          <w:szCs w:val="24"/>
        </w:rPr>
      </w:pPr>
    </w:p>
    <w:p w:rsidR="004547AB" w:rsidRPr="006F6242" w:rsidRDefault="00D0578C" w:rsidP="003E4FC2">
      <w:pPr>
        <w:spacing w:after="0" w:line="240" w:lineRule="auto"/>
        <w:ind w:left="1080"/>
        <w:jc w:val="both"/>
        <w:rPr>
          <w:sz w:val="24"/>
          <w:szCs w:val="24"/>
        </w:rPr>
      </w:pPr>
      <w:r w:rsidRPr="006F6242">
        <w:rPr>
          <w:sz w:val="24"/>
          <w:szCs w:val="24"/>
        </w:rPr>
        <w:t xml:space="preserve">In </w:t>
      </w:r>
      <w:r w:rsidRPr="006F6242">
        <w:rPr>
          <w:b/>
          <w:sz w:val="24"/>
          <w:szCs w:val="24"/>
        </w:rPr>
        <w:t>France</w:t>
      </w:r>
      <w:r w:rsidRPr="006F6242">
        <w:rPr>
          <w:sz w:val="24"/>
          <w:szCs w:val="24"/>
        </w:rPr>
        <w:t xml:space="preserve">, for example, the basic salary of civil servants has been frozen since 2010, while in the </w:t>
      </w:r>
      <w:r w:rsidRPr="006F6242">
        <w:rPr>
          <w:b/>
          <w:sz w:val="24"/>
          <w:szCs w:val="24"/>
        </w:rPr>
        <w:t>UK</w:t>
      </w:r>
      <w:r w:rsidRPr="006F6242">
        <w:rPr>
          <w:sz w:val="24"/>
          <w:szCs w:val="24"/>
        </w:rPr>
        <w:t xml:space="preserve"> a two-year pay</w:t>
      </w:r>
      <w:r w:rsidR="00DA574D">
        <w:rPr>
          <w:sz w:val="24"/>
          <w:szCs w:val="24"/>
        </w:rPr>
        <w:t xml:space="preserve"> </w:t>
      </w:r>
      <w:r w:rsidRPr="006F6242">
        <w:rPr>
          <w:sz w:val="24"/>
          <w:szCs w:val="24"/>
        </w:rPr>
        <w:t>freeze for public sector workers was introduced in 2010.</w:t>
      </w:r>
      <w:r w:rsidR="005F3E91" w:rsidRPr="006F6242">
        <w:rPr>
          <w:sz w:val="24"/>
          <w:szCs w:val="24"/>
        </w:rPr>
        <w:t xml:space="preserve">  </w:t>
      </w:r>
    </w:p>
    <w:p w:rsidR="00257991" w:rsidRDefault="00257991" w:rsidP="003E4FC2">
      <w:pPr>
        <w:spacing w:after="0" w:line="240" w:lineRule="auto"/>
        <w:ind w:left="1080"/>
        <w:jc w:val="both"/>
        <w:rPr>
          <w:sz w:val="24"/>
          <w:szCs w:val="24"/>
        </w:rPr>
      </w:pPr>
    </w:p>
    <w:p w:rsidR="006014CD" w:rsidRPr="006F6242" w:rsidRDefault="00D0578C" w:rsidP="003E4FC2">
      <w:pPr>
        <w:spacing w:after="0" w:line="240" w:lineRule="auto"/>
        <w:ind w:left="1080"/>
        <w:jc w:val="both"/>
        <w:rPr>
          <w:sz w:val="24"/>
          <w:szCs w:val="24"/>
        </w:rPr>
      </w:pPr>
      <w:r w:rsidRPr="006F6242">
        <w:rPr>
          <w:sz w:val="24"/>
          <w:szCs w:val="24"/>
        </w:rPr>
        <w:t>In</w:t>
      </w:r>
      <w:r w:rsidRPr="006F6242">
        <w:rPr>
          <w:b/>
          <w:sz w:val="24"/>
          <w:szCs w:val="24"/>
        </w:rPr>
        <w:t xml:space="preserve"> Ireland</w:t>
      </w:r>
      <w:r w:rsidRPr="006F6242">
        <w:rPr>
          <w:sz w:val="24"/>
          <w:szCs w:val="24"/>
        </w:rPr>
        <w:t xml:space="preserve">, </w:t>
      </w:r>
      <w:r w:rsidR="00790799" w:rsidRPr="006F6242">
        <w:rPr>
          <w:sz w:val="24"/>
          <w:szCs w:val="24"/>
        </w:rPr>
        <w:t xml:space="preserve">the Financial Emergency Measures in the Public Interests Acts 2009 introduced </w:t>
      </w:r>
      <w:r w:rsidR="00B80524" w:rsidRPr="006F6242">
        <w:rPr>
          <w:sz w:val="24"/>
          <w:szCs w:val="24"/>
        </w:rPr>
        <w:t>a Pension Related Deduction (PRD), at an average of 7%,</w:t>
      </w:r>
      <w:r w:rsidR="008E7D0C">
        <w:rPr>
          <w:sz w:val="24"/>
          <w:szCs w:val="24"/>
        </w:rPr>
        <w:t xml:space="preserve"> </w:t>
      </w:r>
      <w:r w:rsidR="00B80524" w:rsidRPr="006F6242">
        <w:rPr>
          <w:sz w:val="24"/>
          <w:szCs w:val="24"/>
        </w:rPr>
        <w:t xml:space="preserve">and reduced remuneration (at rates of between 5% and 20%).  In </w:t>
      </w:r>
      <w:r w:rsidR="005602A7">
        <w:rPr>
          <w:sz w:val="24"/>
          <w:szCs w:val="24"/>
        </w:rPr>
        <w:t xml:space="preserve">addition, in </w:t>
      </w:r>
      <w:r w:rsidR="00B80524" w:rsidRPr="006F6242">
        <w:rPr>
          <w:sz w:val="24"/>
          <w:szCs w:val="24"/>
        </w:rPr>
        <w:t>2011, the pay scale for all new recruits was reduced by 10%.</w:t>
      </w:r>
      <w:r w:rsidR="00A00BD1" w:rsidRPr="006F6242">
        <w:rPr>
          <w:sz w:val="24"/>
          <w:szCs w:val="24"/>
        </w:rPr>
        <w:t xml:space="preserve">  </w:t>
      </w:r>
    </w:p>
    <w:p w:rsidR="00257991" w:rsidRDefault="00257991" w:rsidP="003E4FC2">
      <w:pPr>
        <w:spacing w:after="0" w:line="240" w:lineRule="auto"/>
        <w:ind w:left="1080"/>
        <w:jc w:val="both"/>
        <w:rPr>
          <w:sz w:val="24"/>
          <w:szCs w:val="24"/>
        </w:rPr>
      </w:pPr>
    </w:p>
    <w:p w:rsidR="00EA6F84" w:rsidRDefault="00491914" w:rsidP="003E4FC2">
      <w:pPr>
        <w:spacing w:after="0" w:line="240" w:lineRule="auto"/>
        <w:ind w:left="1080"/>
        <w:jc w:val="both"/>
        <w:rPr>
          <w:sz w:val="24"/>
          <w:szCs w:val="24"/>
        </w:rPr>
      </w:pPr>
      <w:r>
        <w:rPr>
          <w:sz w:val="24"/>
          <w:szCs w:val="24"/>
        </w:rPr>
        <w:t>In some o</w:t>
      </w:r>
      <w:r w:rsidR="005F3E91" w:rsidRPr="006F6242">
        <w:rPr>
          <w:sz w:val="24"/>
          <w:szCs w:val="24"/>
        </w:rPr>
        <w:t>ther Member States</w:t>
      </w:r>
      <w:r w:rsidR="00B80524" w:rsidRPr="006F6242">
        <w:rPr>
          <w:sz w:val="24"/>
          <w:szCs w:val="24"/>
        </w:rPr>
        <w:t xml:space="preserve">, including </w:t>
      </w:r>
      <w:r w:rsidR="00B80524" w:rsidRPr="006F6242">
        <w:rPr>
          <w:b/>
          <w:sz w:val="24"/>
          <w:szCs w:val="24"/>
        </w:rPr>
        <w:t>Cyprus</w:t>
      </w:r>
      <w:r w:rsidR="00A42BAD" w:rsidRPr="006F6242">
        <w:rPr>
          <w:sz w:val="24"/>
          <w:szCs w:val="24"/>
        </w:rPr>
        <w:t xml:space="preserve">, </w:t>
      </w:r>
      <w:r w:rsidR="00A42BAD">
        <w:rPr>
          <w:sz w:val="24"/>
          <w:szCs w:val="24"/>
        </w:rPr>
        <w:t>some</w:t>
      </w:r>
      <w:r w:rsidR="00F367A3">
        <w:rPr>
          <w:sz w:val="24"/>
          <w:szCs w:val="24"/>
        </w:rPr>
        <w:t xml:space="preserve"> </w:t>
      </w:r>
      <w:r w:rsidR="00A42BAD">
        <w:rPr>
          <w:sz w:val="24"/>
          <w:szCs w:val="24"/>
        </w:rPr>
        <w:t>allowances were both</w:t>
      </w:r>
      <w:r w:rsidR="00F367A3">
        <w:rPr>
          <w:sz w:val="24"/>
          <w:szCs w:val="24"/>
        </w:rPr>
        <w:t xml:space="preserve"> </w:t>
      </w:r>
      <w:r w:rsidR="00B80524" w:rsidRPr="006F6242">
        <w:rPr>
          <w:sz w:val="24"/>
          <w:szCs w:val="24"/>
        </w:rPr>
        <w:t>ab</w:t>
      </w:r>
      <w:r w:rsidR="00A42BAD">
        <w:rPr>
          <w:sz w:val="24"/>
          <w:szCs w:val="24"/>
        </w:rPr>
        <w:t>olish</w:t>
      </w:r>
      <w:r w:rsidR="00F367A3">
        <w:rPr>
          <w:sz w:val="24"/>
          <w:szCs w:val="24"/>
        </w:rPr>
        <w:t>ed and reduced</w:t>
      </w:r>
      <w:r w:rsidR="006F635F" w:rsidRPr="006F6242">
        <w:rPr>
          <w:sz w:val="24"/>
          <w:szCs w:val="24"/>
        </w:rPr>
        <w:t>.</w:t>
      </w:r>
    </w:p>
    <w:p w:rsidR="007C7B06" w:rsidRDefault="007C7B06" w:rsidP="003E4FC2">
      <w:pPr>
        <w:spacing w:after="0" w:line="240" w:lineRule="auto"/>
        <w:ind w:left="1080"/>
        <w:jc w:val="both"/>
        <w:rPr>
          <w:sz w:val="24"/>
          <w:szCs w:val="24"/>
        </w:rPr>
      </w:pPr>
    </w:p>
    <w:p w:rsidR="007C7B06" w:rsidRPr="006F6242" w:rsidRDefault="00B4235F" w:rsidP="003E4FC2">
      <w:pPr>
        <w:spacing w:after="0" w:line="240" w:lineRule="auto"/>
        <w:ind w:left="1080"/>
        <w:jc w:val="both"/>
        <w:rPr>
          <w:sz w:val="24"/>
          <w:szCs w:val="24"/>
        </w:rPr>
      </w:pPr>
      <w:r>
        <w:rPr>
          <w:sz w:val="24"/>
          <w:szCs w:val="24"/>
        </w:rPr>
        <w:t xml:space="preserve">In </w:t>
      </w:r>
      <w:r w:rsidRPr="00B4235F">
        <w:rPr>
          <w:b/>
          <w:sz w:val="24"/>
          <w:szCs w:val="24"/>
        </w:rPr>
        <w:t>Italy</w:t>
      </w:r>
      <w:r>
        <w:rPr>
          <w:sz w:val="24"/>
          <w:szCs w:val="24"/>
        </w:rPr>
        <w:t xml:space="preserve">, for example, legislation has been introduced which </w:t>
      </w:r>
      <w:r w:rsidR="009B3961">
        <w:rPr>
          <w:sz w:val="24"/>
          <w:szCs w:val="24"/>
        </w:rPr>
        <w:t>precludes</w:t>
      </w:r>
      <w:r>
        <w:rPr>
          <w:sz w:val="24"/>
          <w:szCs w:val="24"/>
        </w:rPr>
        <w:t xml:space="preserve"> pay-related collective bargaining at the national level until 2013; currently there is only annual decentralised bargaining at the local level.</w:t>
      </w:r>
    </w:p>
    <w:p w:rsidR="00E645AF" w:rsidRPr="001A62CB" w:rsidRDefault="00E645AF" w:rsidP="003E4FC2">
      <w:pPr>
        <w:spacing w:after="0" w:line="240" w:lineRule="auto"/>
        <w:ind w:left="720"/>
        <w:jc w:val="both"/>
        <w:rPr>
          <w:sz w:val="24"/>
          <w:szCs w:val="24"/>
        </w:rPr>
      </w:pPr>
    </w:p>
    <w:p w:rsidR="00257991" w:rsidRDefault="007C7B06" w:rsidP="00E2727A">
      <w:pPr>
        <w:spacing w:after="0" w:line="240" w:lineRule="auto"/>
        <w:ind w:left="720"/>
        <w:jc w:val="both"/>
        <w:rPr>
          <w:b/>
          <w:sz w:val="24"/>
          <w:szCs w:val="24"/>
        </w:rPr>
      </w:pPr>
      <w:r>
        <w:rPr>
          <w:sz w:val="24"/>
          <w:szCs w:val="24"/>
        </w:rPr>
        <w:t>The</w:t>
      </w:r>
      <w:r w:rsidR="00257991" w:rsidRPr="00D115E0">
        <w:rPr>
          <w:sz w:val="24"/>
          <w:szCs w:val="24"/>
        </w:rPr>
        <w:t xml:space="preserve"> most common changes reported by Member States were </w:t>
      </w:r>
      <w:r w:rsidR="00257991">
        <w:rPr>
          <w:sz w:val="24"/>
          <w:szCs w:val="24"/>
        </w:rPr>
        <w:t xml:space="preserve">pay reductions, </w:t>
      </w:r>
      <w:r w:rsidR="00257991" w:rsidRPr="00D115E0">
        <w:rPr>
          <w:sz w:val="24"/>
          <w:szCs w:val="24"/>
        </w:rPr>
        <w:t>pay freezes, and the abolition/reduction of allowances</w:t>
      </w:r>
      <w:r w:rsidR="00257991">
        <w:rPr>
          <w:sz w:val="24"/>
          <w:szCs w:val="24"/>
        </w:rPr>
        <w:t>/bonuses</w:t>
      </w:r>
      <w:r w:rsidR="00257991" w:rsidRPr="00D115E0">
        <w:rPr>
          <w:sz w:val="24"/>
          <w:szCs w:val="24"/>
        </w:rPr>
        <w:t>.</w:t>
      </w:r>
      <w:r w:rsidR="00257991">
        <w:rPr>
          <w:b/>
          <w:sz w:val="24"/>
          <w:szCs w:val="24"/>
        </w:rPr>
        <w:t xml:space="preserve">  </w:t>
      </w:r>
      <w:r w:rsidR="00257991">
        <w:rPr>
          <w:sz w:val="24"/>
          <w:szCs w:val="24"/>
        </w:rPr>
        <w:t>The bar chart below illustrates the incidence of these changes across the Member States.</w:t>
      </w:r>
    </w:p>
    <w:p w:rsidR="00257991" w:rsidRDefault="00257991" w:rsidP="00257991">
      <w:pPr>
        <w:spacing w:after="0" w:line="240" w:lineRule="auto"/>
        <w:jc w:val="both"/>
        <w:rPr>
          <w:b/>
          <w:sz w:val="24"/>
          <w:szCs w:val="24"/>
        </w:rPr>
      </w:pPr>
    </w:p>
    <w:p w:rsidR="00D115E0" w:rsidRPr="00E2727A" w:rsidRDefault="007C44FB" w:rsidP="00E2727A">
      <w:pPr>
        <w:spacing w:after="0" w:line="240" w:lineRule="auto"/>
        <w:ind w:left="720" w:firstLine="720"/>
        <w:jc w:val="both"/>
        <w:rPr>
          <w:b/>
          <w:sz w:val="20"/>
          <w:szCs w:val="20"/>
        </w:rPr>
      </w:pPr>
      <w:r w:rsidRPr="00E2727A">
        <w:rPr>
          <w:b/>
          <w:sz w:val="20"/>
          <w:szCs w:val="20"/>
        </w:rPr>
        <w:t xml:space="preserve">Figure </w:t>
      </w:r>
      <w:r w:rsidR="00307E3D" w:rsidRPr="00E2727A">
        <w:rPr>
          <w:b/>
          <w:sz w:val="20"/>
          <w:szCs w:val="20"/>
        </w:rPr>
        <w:t>1.9</w:t>
      </w:r>
      <w:r w:rsidR="00125EE8" w:rsidRPr="00E2727A">
        <w:rPr>
          <w:b/>
          <w:sz w:val="20"/>
          <w:szCs w:val="20"/>
        </w:rPr>
        <w:t>:</w:t>
      </w:r>
      <w:r w:rsidR="00125EE8" w:rsidRPr="00E2727A">
        <w:rPr>
          <w:b/>
          <w:sz w:val="20"/>
          <w:szCs w:val="20"/>
        </w:rPr>
        <w:tab/>
      </w:r>
      <w:r w:rsidRPr="00E2727A">
        <w:rPr>
          <w:b/>
          <w:sz w:val="20"/>
          <w:szCs w:val="20"/>
        </w:rPr>
        <w:t xml:space="preserve">Changes to Rates of Pay across </w:t>
      </w:r>
      <w:r w:rsidR="00280C63" w:rsidRPr="00E2727A">
        <w:rPr>
          <w:b/>
          <w:sz w:val="20"/>
          <w:szCs w:val="20"/>
        </w:rPr>
        <w:t>EUPAN Member S</w:t>
      </w:r>
      <w:r w:rsidRPr="00E2727A">
        <w:rPr>
          <w:b/>
          <w:sz w:val="20"/>
          <w:szCs w:val="20"/>
        </w:rPr>
        <w:t xml:space="preserve">tates </w:t>
      </w:r>
      <w:r w:rsidR="00E2727A" w:rsidRPr="00E2727A">
        <w:rPr>
          <w:b/>
          <w:sz w:val="20"/>
          <w:szCs w:val="20"/>
        </w:rPr>
        <w:t>– 2012 vs</w:t>
      </w:r>
      <w:r w:rsidR="00AB3631" w:rsidRPr="00E2727A">
        <w:rPr>
          <w:b/>
          <w:sz w:val="20"/>
          <w:szCs w:val="20"/>
        </w:rPr>
        <w:t>. 2006</w:t>
      </w:r>
    </w:p>
    <w:p w:rsidR="005602A7" w:rsidRDefault="005602A7" w:rsidP="00F92BCE">
      <w:pPr>
        <w:spacing w:after="0" w:line="240" w:lineRule="auto"/>
        <w:jc w:val="both"/>
        <w:rPr>
          <w:b/>
          <w:sz w:val="24"/>
          <w:szCs w:val="24"/>
        </w:rPr>
      </w:pPr>
    </w:p>
    <w:p w:rsidR="00D115E0" w:rsidRDefault="00E2727A" w:rsidP="003E4FC2">
      <w:pPr>
        <w:spacing w:after="0" w:line="240" w:lineRule="auto"/>
        <w:ind w:left="709"/>
        <w:jc w:val="both"/>
        <w:rPr>
          <w:b/>
          <w:sz w:val="24"/>
          <w:szCs w:val="24"/>
        </w:rPr>
      </w:pPr>
      <w:r>
        <w:rPr>
          <w:b/>
          <w:noProof/>
          <w:sz w:val="24"/>
          <w:szCs w:val="24"/>
          <w:lang w:val="en-US"/>
        </w:rPr>
        <w:drawing>
          <wp:inline distT="0" distB="0" distL="0" distR="0" wp14:anchorId="1872F4D9" wp14:editId="0D27EEE5">
            <wp:extent cx="4781550" cy="3257550"/>
            <wp:effectExtent l="0" t="0" r="0" b="0"/>
            <wp:docPr id="9" name="Objec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C6CB2" w:rsidRDefault="001C6CB2">
      <w:pPr>
        <w:spacing w:after="0" w:line="240" w:lineRule="auto"/>
        <w:rPr>
          <w:b/>
          <w:sz w:val="24"/>
          <w:szCs w:val="24"/>
        </w:rPr>
      </w:pPr>
      <w:r>
        <w:rPr>
          <w:b/>
          <w:sz w:val="24"/>
          <w:szCs w:val="24"/>
        </w:rPr>
        <w:br w:type="page"/>
      </w:r>
    </w:p>
    <w:p w:rsidR="00E645AF" w:rsidRPr="001A62CB" w:rsidRDefault="00413911" w:rsidP="00E2727A">
      <w:pPr>
        <w:spacing w:after="0" w:line="240" w:lineRule="auto"/>
        <w:jc w:val="both"/>
        <w:rPr>
          <w:b/>
          <w:sz w:val="24"/>
          <w:szCs w:val="24"/>
        </w:rPr>
      </w:pPr>
      <w:r>
        <w:rPr>
          <w:b/>
          <w:sz w:val="24"/>
          <w:szCs w:val="24"/>
        </w:rPr>
        <w:lastRenderedPageBreak/>
        <w:t>b</w:t>
      </w:r>
      <w:r w:rsidR="00CF7FE4">
        <w:rPr>
          <w:b/>
          <w:sz w:val="24"/>
          <w:szCs w:val="24"/>
        </w:rPr>
        <w:t>.</w:t>
      </w:r>
      <w:r w:rsidR="00AB2596">
        <w:rPr>
          <w:b/>
          <w:sz w:val="24"/>
          <w:szCs w:val="24"/>
        </w:rPr>
        <w:t xml:space="preserve"> </w:t>
      </w:r>
      <w:r w:rsidR="00125EE8">
        <w:rPr>
          <w:b/>
          <w:sz w:val="24"/>
          <w:szCs w:val="24"/>
        </w:rPr>
        <w:t>(ii)</w:t>
      </w:r>
      <w:r w:rsidR="00125EE8">
        <w:rPr>
          <w:b/>
          <w:sz w:val="24"/>
          <w:szCs w:val="24"/>
        </w:rPr>
        <w:tab/>
      </w:r>
      <w:r w:rsidR="00E645AF" w:rsidRPr="001A62CB">
        <w:rPr>
          <w:b/>
          <w:sz w:val="24"/>
          <w:szCs w:val="24"/>
        </w:rPr>
        <w:t>Rates of Pension</w:t>
      </w:r>
    </w:p>
    <w:p w:rsidR="00E645AF" w:rsidRDefault="00E645AF" w:rsidP="003E4FC2">
      <w:pPr>
        <w:spacing w:after="0" w:line="240" w:lineRule="auto"/>
        <w:ind w:left="720"/>
        <w:jc w:val="both"/>
        <w:rPr>
          <w:sz w:val="24"/>
          <w:szCs w:val="24"/>
        </w:rPr>
      </w:pPr>
    </w:p>
    <w:p w:rsidR="004A1608" w:rsidRDefault="00280C63" w:rsidP="007A4291">
      <w:pPr>
        <w:spacing w:after="0" w:line="240" w:lineRule="auto"/>
        <w:ind w:left="720" w:firstLine="720"/>
        <w:jc w:val="both"/>
        <w:rPr>
          <w:b/>
          <w:sz w:val="20"/>
          <w:szCs w:val="20"/>
        </w:rPr>
      </w:pPr>
      <w:r w:rsidRPr="00E2727A">
        <w:rPr>
          <w:b/>
          <w:sz w:val="20"/>
          <w:szCs w:val="20"/>
        </w:rPr>
        <w:t>Figure 1.1</w:t>
      </w:r>
      <w:r w:rsidR="00307E3D" w:rsidRPr="00E2727A">
        <w:rPr>
          <w:b/>
          <w:sz w:val="20"/>
          <w:szCs w:val="20"/>
        </w:rPr>
        <w:t>0</w:t>
      </w:r>
      <w:r w:rsidR="00125EE8" w:rsidRPr="00E2727A">
        <w:rPr>
          <w:b/>
          <w:sz w:val="20"/>
          <w:szCs w:val="20"/>
        </w:rPr>
        <w:t xml:space="preserve">: </w:t>
      </w:r>
      <w:r w:rsidR="00AB3631" w:rsidRPr="00E2727A">
        <w:rPr>
          <w:b/>
          <w:sz w:val="20"/>
          <w:szCs w:val="20"/>
        </w:rPr>
        <w:tab/>
      </w:r>
      <w:r w:rsidRPr="00E2727A">
        <w:rPr>
          <w:b/>
          <w:sz w:val="20"/>
          <w:szCs w:val="20"/>
        </w:rPr>
        <w:t>Rates of Pension across EUPAN Member States</w:t>
      </w:r>
      <w:r w:rsidR="00E2727A" w:rsidRPr="00E2727A">
        <w:rPr>
          <w:b/>
          <w:sz w:val="20"/>
          <w:szCs w:val="20"/>
        </w:rPr>
        <w:t xml:space="preserve"> – 2012</w:t>
      </w:r>
      <w:r w:rsidR="00AB3631" w:rsidRPr="00E2727A">
        <w:rPr>
          <w:b/>
          <w:sz w:val="20"/>
          <w:szCs w:val="20"/>
        </w:rPr>
        <w:t xml:space="preserve"> vs. 200</w:t>
      </w:r>
      <w:r w:rsidR="007A4291">
        <w:rPr>
          <w:b/>
          <w:sz w:val="20"/>
          <w:szCs w:val="20"/>
        </w:rPr>
        <w:t>6</w:t>
      </w:r>
    </w:p>
    <w:p w:rsidR="00C26757" w:rsidRDefault="00C26757" w:rsidP="007A4291">
      <w:pPr>
        <w:spacing w:after="0" w:line="240" w:lineRule="auto"/>
        <w:ind w:left="720" w:firstLine="720"/>
        <w:jc w:val="both"/>
        <w:rPr>
          <w:b/>
          <w:sz w:val="20"/>
          <w:szCs w:val="20"/>
        </w:rPr>
      </w:pPr>
    </w:p>
    <w:p w:rsidR="007A4291" w:rsidRPr="007A4291" w:rsidRDefault="007A4291" w:rsidP="00C26757">
      <w:pPr>
        <w:spacing w:after="0" w:line="240" w:lineRule="auto"/>
        <w:ind w:firstLine="720"/>
        <w:jc w:val="center"/>
        <w:rPr>
          <w:b/>
          <w:sz w:val="20"/>
          <w:szCs w:val="20"/>
        </w:rPr>
      </w:pPr>
      <w:r>
        <w:rPr>
          <w:noProof/>
          <w:sz w:val="24"/>
          <w:szCs w:val="24"/>
          <w:lang w:val="en-US"/>
        </w:rPr>
        <w:drawing>
          <wp:inline distT="0" distB="0" distL="0" distR="0" wp14:anchorId="046DF0B9" wp14:editId="08B8A6E0">
            <wp:extent cx="5248275" cy="2495550"/>
            <wp:effectExtent l="0" t="0" r="9525" b="19050"/>
            <wp:docPr id="74" name="Object 8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2727A" w:rsidRDefault="00E2727A" w:rsidP="00025F5A">
      <w:pPr>
        <w:spacing w:after="0" w:line="240" w:lineRule="auto"/>
        <w:ind w:left="1080"/>
        <w:jc w:val="both"/>
      </w:pPr>
    </w:p>
    <w:p w:rsidR="00391270" w:rsidRDefault="00AB2596" w:rsidP="00C26757">
      <w:pPr>
        <w:spacing w:after="0" w:line="240" w:lineRule="auto"/>
        <w:ind w:left="720"/>
        <w:jc w:val="both"/>
        <w:rPr>
          <w:sz w:val="24"/>
          <w:szCs w:val="24"/>
        </w:rPr>
      </w:pPr>
      <w:r>
        <w:rPr>
          <w:sz w:val="24"/>
          <w:szCs w:val="24"/>
        </w:rPr>
        <w:t xml:space="preserve">Thirteen </w:t>
      </w:r>
      <w:r w:rsidR="00391270">
        <w:rPr>
          <w:sz w:val="24"/>
          <w:szCs w:val="24"/>
        </w:rPr>
        <w:t>Member States responded on this question. Four M</w:t>
      </w:r>
      <w:r w:rsidR="00651B43" w:rsidRPr="00590710">
        <w:rPr>
          <w:sz w:val="24"/>
          <w:szCs w:val="24"/>
        </w:rPr>
        <w:t>ember States</w:t>
      </w:r>
      <w:r w:rsidR="008A5A68" w:rsidRPr="00590710">
        <w:rPr>
          <w:sz w:val="24"/>
          <w:szCs w:val="24"/>
        </w:rPr>
        <w:t xml:space="preserve"> (</w:t>
      </w:r>
      <w:r w:rsidR="00590710">
        <w:rPr>
          <w:b/>
          <w:sz w:val="24"/>
          <w:szCs w:val="24"/>
        </w:rPr>
        <w:t xml:space="preserve">Austria, </w:t>
      </w:r>
      <w:r w:rsidR="00BE7EF5">
        <w:rPr>
          <w:b/>
          <w:sz w:val="24"/>
          <w:szCs w:val="24"/>
        </w:rPr>
        <w:t xml:space="preserve">Greece, </w:t>
      </w:r>
      <w:r w:rsidR="00590710">
        <w:rPr>
          <w:b/>
          <w:sz w:val="24"/>
          <w:szCs w:val="24"/>
        </w:rPr>
        <w:t>Germany and I</w:t>
      </w:r>
      <w:r w:rsidR="000B0893" w:rsidRPr="00590710">
        <w:rPr>
          <w:b/>
          <w:sz w:val="24"/>
          <w:szCs w:val="24"/>
        </w:rPr>
        <w:t>reland)</w:t>
      </w:r>
      <w:r w:rsidR="00590710" w:rsidRPr="00590710">
        <w:rPr>
          <w:b/>
          <w:sz w:val="24"/>
          <w:szCs w:val="24"/>
        </w:rPr>
        <w:t xml:space="preserve"> </w:t>
      </w:r>
      <w:r w:rsidR="00125EE8">
        <w:rPr>
          <w:sz w:val="24"/>
          <w:szCs w:val="24"/>
        </w:rPr>
        <w:t xml:space="preserve">reported </w:t>
      </w:r>
      <w:r w:rsidR="00010691">
        <w:rPr>
          <w:sz w:val="24"/>
          <w:szCs w:val="24"/>
        </w:rPr>
        <w:t xml:space="preserve">a </w:t>
      </w:r>
      <w:r w:rsidR="00590710">
        <w:rPr>
          <w:sz w:val="24"/>
          <w:szCs w:val="24"/>
        </w:rPr>
        <w:t xml:space="preserve">reduction in the </w:t>
      </w:r>
      <w:r w:rsidR="00651B43" w:rsidRPr="001A62CB">
        <w:rPr>
          <w:sz w:val="24"/>
          <w:szCs w:val="24"/>
        </w:rPr>
        <w:t>rates of pension since 2009</w:t>
      </w:r>
      <w:r w:rsidR="00590710">
        <w:rPr>
          <w:sz w:val="24"/>
          <w:szCs w:val="24"/>
        </w:rPr>
        <w:t xml:space="preserve">. </w:t>
      </w:r>
    </w:p>
    <w:p w:rsidR="00391270" w:rsidRDefault="00391270" w:rsidP="00590710">
      <w:pPr>
        <w:spacing w:after="0" w:line="240" w:lineRule="auto"/>
        <w:ind w:left="1080"/>
        <w:jc w:val="both"/>
        <w:rPr>
          <w:sz w:val="24"/>
          <w:szCs w:val="24"/>
        </w:rPr>
      </w:pPr>
    </w:p>
    <w:p w:rsidR="00BE7EF5" w:rsidRPr="00BE7EF5" w:rsidRDefault="00391270" w:rsidP="00391270">
      <w:pPr>
        <w:spacing w:after="0" w:line="240" w:lineRule="auto"/>
        <w:ind w:left="1440"/>
        <w:jc w:val="both"/>
        <w:rPr>
          <w:sz w:val="24"/>
          <w:szCs w:val="24"/>
        </w:rPr>
      </w:pPr>
      <w:r>
        <w:rPr>
          <w:b/>
          <w:sz w:val="24"/>
          <w:szCs w:val="24"/>
        </w:rPr>
        <w:t xml:space="preserve">Austria </w:t>
      </w:r>
      <w:r>
        <w:rPr>
          <w:sz w:val="24"/>
          <w:szCs w:val="24"/>
        </w:rPr>
        <w:t>reduced</w:t>
      </w:r>
      <w:r w:rsidR="00BE7EF5">
        <w:rPr>
          <w:sz w:val="24"/>
          <w:szCs w:val="24"/>
        </w:rPr>
        <w:t xml:space="preserve"> pensions by 4.2%</w:t>
      </w:r>
      <w:r w:rsidR="00D14479">
        <w:rPr>
          <w:sz w:val="24"/>
          <w:szCs w:val="24"/>
        </w:rPr>
        <w:t>;</w:t>
      </w:r>
      <w:r w:rsidR="00BE7EF5">
        <w:rPr>
          <w:sz w:val="24"/>
          <w:szCs w:val="24"/>
        </w:rPr>
        <w:t xml:space="preserve"> </w:t>
      </w:r>
      <w:r w:rsidR="00D14479">
        <w:rPr>
          <w:sz w:val="24"/>
          <w:szCs w:val="24"/>
        </w:rPr>
        <w:t xml:space="preserve">in </w:t>
      </w:r>
      <w:r w:rsidR="00D14479">
        <w:rPr>
          <w:b/>
          <w:sz w:val="24"/>
          <w:szCs w:val="24"/>
        </w:rPr>
        <w:t xml:space="preserve">Germany, </w:t>
      </w:r>
      <w:r w:rsidR="00D14479" w:rsidRPr="00D14479">
        <w:rPr>
          <w:sz w:val="24"/>
          <w:szCs w:val="24"/>
        </w:rPr>
        <w:t>pension</w:t>
      </w:r>
      <w:r w:rsidR="00010691">
        <w:rPr>
          <w:sz w:val="24"/>
          <w:szCs w:val="24"/>
        </w:rPr>
        <w:t>s</w:t>
      </w:r>
      <w:r w:rsidR="00D14479" w:rsidRPr="00D14479">
        <w:rPr>
          <w:sz w:val="24"/>
          <w:szCs w:val="24"/>
        </w:rPr>
        <w:t xml:space="preserve"> will now be based on 71 %</w:t>
      </w:r>
      <w:r w:rsidR="00D14479">
        <w:rPr>
          <w:b/>
          <w:sz w:val="24"/>
          <w:szCs w:val="24"/>
        </w:rPr>
        <w:t xml:space="preserve"> </w:t>
      </w:r>
      <w:r w:rsidR="00D14479" w:rsidRPr="00F540FF">
        <w:rPr>
          <w:sz w:val="24"/>
          <w:szCs w:val="24"/>
        </w:rPr>
        <w:t>of</w:t>
      </w:r>
      <w:r w:rsidR="00D14479">
        <w:rPr>
          <w:b/>
          <w:sz w:val="24"/>
          <w:szCs w:val="24"/>
        </w:rPr>
        <w:t xml:space="preserve"> </w:t>
      </w:r>
      <w:r w:rsidR="00D14479" w:rsidRPr="00D14479">
        <w:rPr>
          <w:sz w:val="24"/>
          <w:szCs w:val="24"/>
        </w:rPr>
        <w:t>the final pensionable</w:t>
      </w:r>
      <w:r w:rsidR="00D14479">
        <w:rPr>
          <w:sz w:val="24"/>
          <w:szCs w:val="24"/>
        </w:rPr>
        <w:t xml:space="preserve"> salary instead of 75%; in </w:t>
      </w:r>
      <w:r>
        <w:rPr>
          <w:b/>
          <w:sz w:val="24"/>
          <w:szCs w:val="24"/>
        </w:rPr>
        <w:t xml:space="preserve">Ireland </w:t>
      </w:r>
      <w:r>
        <w:rPr>
          <w:sz w:val="24"/>
          <w:szCs w:val="24"/>
        </w:rPr>
        <w:t xml:space="preserve">pensions over €12,000 </w:t>
      </w:r>
      <w:r w:rsidR="00D14479">
        <w:rPr>
          <w:sz w:val="24"/>
          <w:szCs w:val="24"/>
        </w:rPr>
        <w:t xml:space="preserve">were reduced </w:t>
      </w:r>
      <w:r>
        <w:rPr>
          <w:sz w:val="24"/>
          <w:szCs w:val="24"/>
        </w:rPr>
        <w:t xml:space="preserve">by 4%. </w:t>
      </w:r>
    </w:p>
    <w:p w:rsidR="00BE7EF5" w:rsidRDefault="00BE7EF5" w:rsidP="00590710">
      <w:pPr>
        <w:spacing w:after="0" w:line="240" w:lineRule="auto"/>
        <w:ind w:left="1080"/>
        <w:jc w:val="both"/>
        <w:rPr>
          <w:sz w:val="24"/>
          <w:szCs w:val="24"/>
        </w:rPr>
      </w:pPr>
    </w:p>
    <w:p w:rsidR="008E7D0C" w:rsidRPr="006F6242" w:rsidRDefault="00391270" w:rsidP="008E7D0C">
      <w:pPr>
        <w:spacing w:after="0" w:line="240" w:lineRule="auto"/>
        <w:ind w:left="1440"/>
        <w:jc w:val="both"/>
        <w:rPr>
          <w:sz w:val="24"/>
          <w:szCs w:val="24"/>
        </w:rPr>
      </w:pPr>
      <w:r>
        <w:rPr>
          <w:sz w:val="24"/>
          <w:szCs w:val="24"/>
        </w:rPr>
        <w:t xml:space="preserve">Three </w:t>
      </w:r>
      <w:r w:rsidR="00590710">
        <w:rPr>
          <w:sz w:val="24"/>
          <w:szCs w:val="24"/>
        </w:rPr>
        <w:t xml:space="preserve">Member States </w:t>
      </w:r>
      <w:r w:rsidR="00590710">
        <w:rPr>
          <w:b/>
          <w:sz w:val="24"/>
          <w:szCs w:val="24"/>
        </w:rPr>
        <w:t>(</w:t>
      </w:r>
      <w:r>
        <w:rPr>
          <w:b/>
          <w:sz w:val="24"/>
          <w:szCs w:val="24"/>
        </w:rPr>
        <w:t xml:space="preserve">Cyprus, Estonia and </w:t>
      </w:r>
      <w:r w:rsidR="00AB2596">
        <w:rPr>
          <w:b/>
          <w:sz w:val="24"/>
          <w:szCs w:val="24"/>
        </w:rPr>
        <w:t>the Netherlands</w:t>
      </w:r>
      <w:r w:rsidR="00590710" w:rsidRPr="001A62CB">
        <w:rPr>
          <w:sz w:val="24"/>
          <w:szCs w:val="24"/>
        </w:rPr>
        <w:t>)</w:t>
      </w:r>
      <w:r w:rsidR="00590710">
        <w:rPr>
          <w:sz w:val="24"/>
          <w:szCs w:val="24"/>
        </w:rPr>
        <w:t xml:space="preserve"> report a freeze on pensions. </w:t>
      </w:r>
      <w:r w:rsidR="008E7D0C" w:rsidRPr="006F6242">
        <w:rPr>
          <w:sz w:val="24"/>
          <w:szCs w:val="24"/>
        </w:rPr>
        <w:t xml:space="preserve">In </w:t>
      </w:r>
      <w:r w:rsidR="008E7D0C" w:rsidRPr="006F6242">
        <w:rPr>
          <w:b/>
          <w:sz w:val="24"/>
          <w:szCs w:val="24"/>
        </w:rPr>
        <w:t>Cyprus</w:t>
      </w:r>
      <w:r w:rsidR="008E7D0C" w:rsidRPr="006F6242">
        <w:rPr>
          <w:sz w:val="24"/>
          <w:szCs w:val="24"/>
        </w:rPr>
        <w:t xml:space="preserve">, there is a freeze on any increases in pensions until 2015. In </w:t>
      </w:r>
      <w:r w:rsidR="008E7D0C" w:rsidRPr="00985B28">
        <w:rPr>
          <w:b/>
          <w:sz w:val="24"/>
          <w:szCs w:val="24"/>
        </w:rPr>
        <w:t>Estonia,</w:t>
      </w:r>
      <w:r w:rsidR="008E7D0C" w:rsidRPr="006F6242">
        <w:rPr>
          <w:sz w:val="24"/>
          <w:szCs w:val="24"/>
        </w:rPr>
        <w:t xml:space="preserve"> pensions have not been reduced but national contributions to the mandatory pension schemes were frozen for two years from 2009.</w:t>
      </w:r>
      <w:r w:rsidR="008E7D0C">
        <w:rPr>
          <w:sz w:val="24"/>
          <w:szCs w:val="24"/>
        </w:rPr>
        <w:t xml:space="preserve"> </w:t>
      </w:r>
      <w:r w:rsidR="008E7D0C" w:rsidRPr="006F6242">
        <w:rPr>
          <w:sz w:val="24"/>
          <w:szCs w:val="24"/>
        </w:rPr>
        <w:t xml:space="preserve">In the </w:t>
      </w:r>
      <w:r w:rsidR="008E7D0C" w:rsidRPr="00280C63">
        <w:rPr>
          <w:b/>
          <w:sz w:val="24"/>
          <w:szCs w:val="24"/>
        </w:rPr>
        <w:t>Netherlands</w:t>
      </w:r>
      <w:r w:rsidR="008E7D0C" w:rsidRPr="006F6242">
        <w:rPr>
          <w:sz w:val="24"/>
          <w:szCs w:val="24"/>
        </w:rPr>
        <w:t xml:space="preserve">, pension rates have not been adjusted for inflation since 2006. </w:t>
      </w:r>
    </w:p>
    <w:p w:rsidR="00BD2CBA" w:rsidRDefault="00BD2CBA" w:rsidP="00391270">
      <w:pPr>
        <w:spacing w:after="0" w:line="240" w:lineRule="auto"/>
        <w:ind w:left="1440"/>
        <w:jc w:val="both"/>
        <w:rPr>
          <w:sz w:val="24"/>
          <w:szCs w:val="24"/>
        </w:rPr>
      </w:pPr>
    </w:p>
    <w:p w:rsidR="002D6A43" w:rsidRPr="006F6242" w:rsidRDefault="002D6A43" w:rsidP="00C26757">
      <w:pPr>
        <w:spacing w:after="0" w:line="240" w:lineRule="auto"/>
        <w:ind w:left="720"/>
        <w:jc w:val="both"/>
        <w:rPr>
          <w:sz w:val="24"/>
          <w:szCs w:val="24"/>
        </w:rPr>
      </w:pPr>
      <w:r w:rsidRPr="006F6242">
        <w:rPr>
          <w:sz w:val="24"/>
          <w:szCs w:val="24"/>
        </w:rPr>
        <w:t>The most common changes reported by Member States were pension freezes, pension reductions and revised methods of calculating pensions.</w:t>
      </w:r>
      <w:r w:rsidRPr="006F6242">
        <w:rPr>
          <w:b/>
          <w:sz w:val="24"/>
          <w:szCs w:val="24"/>
        </w:rPr>
        <w:t xml:space="preserve">  </w:t>
      </w:r>
    </w:p>
    <w:p w:rsidR="003A18D7" w:rsidRPr="001A62CB" w:rsidRDefault="003A18D7" w:rsidP="003E4FC2">
      <w:pPr>
        <w:spacing w:after="0" w:line="240" w:lineRule="auto"/>
        <w:jc w:val="both"/>
        <w:rPr>
          <w:sz w:val="24"/>
          <w:szCs w:val="24"/>
        </w:rPr>
      </w:pPr>
    </w:p>
    <w:p w:rsidR="00EC539D" w:rsidRPr="001A62CB" w:rsidRDefault="001207E4" w:rsidP="00E2727A">
      <w:pPr>
        <w:jc w:val="both"/>
        <w:rPr>
          <w:b/>
          <w:sz w:val="24"/>
          <w:szCs w:val="24"/>
        </w:rPr>
      </w:pPr>
      <w:r w:rsidRPr="001A62CB">
        <w:rPr>
          <w:sz w:val="24"/>
          <w:szCs w:val="24"/>
        </w:rPr>
        <w:br w:type="page"/>
      </w:r>
      <w:r w:rsidR="00413911">
        <w:rPr>
          <w:b/>
          <w:sz w:val="24"/>
          <w:szCs w:val="24"/>
        </w:rPr>
        <w:lastRenderedPageBreak/>
        <w:t>c</w:t>
      </w:r>
      <w:r w:rsidR="00AB2596" w:rsidRPr="00AB2596">
        <w:rPr>
          <w:b/>
          <w:sz w:val="24"/>
          <w:szCs w:val="24"/>
        </w:rPr>
        <w:t>.</w:t>
      </w:r>
      <w:r w:rsidR="001F7734">
        <w:rPr>
          <w:sz w:val="24"/>
          <w:szCs w:val="24"/>
        </w:rPr>
        <w:tab/>
      </w:r>
      <w:r w:rsidR="00EC539D" w:rsidRPr="001A62CB">
        <w:rPr>
          <w:b/>
          <w:sz w:val="24"/>
          <w:szCs w:val="24"/>
        </w:rPr>
        <w:t>Pension Entitlements or Conditions of Qualification</w:t>
      </w:r>
    </w:p>
    <w:p w:rsidR="00EC539D" w:rsidRPr="00E2727A" w:rsidRDefault="00307E3D" w:rsidP="00E2727A">
      <w:pPr>
        <w:spacing w:after="0" w:line="240" w:lineRule="auto"/>
        <w:ind w:left="2880" w:hanging="1440"/>
        <w:jc w:val="both"/>
        <w:rPr>
          <w:sz w:val="20"/>
          <w:szCs w:val="20"/>
        </w:rPr>
      </w:pPr>
      <w:r w:rsidRPr="00F0167C">
        <w:rPr>
          <w:b/>
          <w:sz w:val="20"/>
          <w:szCs w:val="20"/>
        </w:rPr>
        <w:t>Figure 1.11</w:t>
      </w:r>
      <w:r w:rsidR="001F7734" w:rsidRPr="00F0167C">
        <w:rPr>
          <w:b/>
          <w:sz w:val="20"/>
          <w:szCs w:val="20"/>
        </w:rPr>
        <w:t>:</w:t>
      </w:r>
      <w:r w:rsidR="001F7734" w:rsidRPr="00E2727A">
        <w:rPr>
          <w:sz w:val="20"/>
          <w:szCs w:val="20"/>
        </w:rPr>
        <w:tab/>
      </w:r>
      <w:r w:rsidR="00280C63" w:rsidRPr="00E2727A">
        <w:rPr>
          <w:b/>
          <w:sz w:val="20"/>
          <w:szCs w:val="20"/>
        </w:rPr>
        <w:t>Pension Entitlements or Conditions of Qualification across EUPAN Member States</w:t>
      </w:r>
      <w:r w:rsidR="00E2727A">
        <w:rPr>
          <w:b/>
          <w:sz w:val="20"/>
          <w:szCs w:val="20"/>
        </w:rPr>
        <w:t xml:space="preserve"> – 2012</w:t>
      </w:r>
      <w:r w:rsidR="00AB3631" w:rsidRPr="00E2727A">
        <w:rPr>
          <w:b/>
          <w:sz w:val="20"/>
          <w:szCs w:val="20"/>
        </w:rPr>
        <w:t xml:space="preserve"> vs. 2006</w:t>
      </w:r>
      <w:r w:rsidR="001F7734" w:rsidRPr="00E2727A">
        <w:rPr>
          <w:sz w:val="20"/>
          <w:szCs w:val="20"/>
        </w:rPr>
        <w:t xml:space="preserve"> </w:t>
      </w:r>
    </w:p>
    <w:p w:rsidR="00E92D5A" w:rsidRPr="001A62CB" w:rsidRDefault="00E92D5A" w:rsidP="00280C63">
      <w:pPr>
        <w:spacing w:after="0" w:line="240" w:lineRule="auto"/>
        <w:ind w:left="2160" w:hanging="1440"/>
        <w:jc w:val="both"/>
        <w:rPr>
          <w:sz w:val="24"/>
          <w:szCs w:val="24"/>
        </w:rPr>
      </w:pPr>
    </w:p>
    <w:p w:rsidR="00D85338" w:rsidRPr="001A62CB" w:rsidRDefault="00E2727A" w:rsidP="003E4FC2">
      <w:pPr>
        <w:spacing w:after="0" w:line="240" w:lineRule="auto"/>
        <w:ind w:left="709"/>
        <w:jc w:val="both"/>
        <w:rPr>
          <w:sz w:val="24"/>
          <w:szCs w:val="24"/>
        </w:rPr>
      </w:pPr>
      <w:r>
        <w:rPr>
          <w:noProof/>
          <w:sz w:val="24"/>
          <w:szCs w:val="24"/>
          <w:lang w:val="en-US"/>
        </w:rPr>
        <w:drawing>
          <wp:inline distT="0" distB="0" distL="0" distR="0" wp14:anchorId="140AA464" wp14:editId="77515050">
            <wp:extent cx="5067300" cy="2495550"/>
            <wp:effectExtent l="0" t="0" r="0" b="0"/>
            <wp:docPr id="11" name="Object 1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85338" w:rsidRDefault="00AB3631" w:rsidP="003E4FC2">
      <w:pPr>
        <w:spacing w:after="0" w:line="240" w:lineRule="auto"/>
        <w:jc w:val="both"/>
        <w:rPr>
          <w:sz w:val="24"/>
          <w:szCs w:val="24"/>
        </w:rPr>
      </w:pPr>
      <w:r>
        <w:rPr>
          <w:sz w:val="24"/>
          <w:szCs w:val="24"/>
        </w:rPr>
        <w:tab/>
      </w:r>
      <w:r>
        <w:rPr>
          <w:sz w:val="24"/>
          <w:szCs w:val="24"/>
        </w:rPr>
        <w:tab/>
      </w:r>
      <w:r>
        <w:rPr>
          <w:sz w:val="24"/>
          <w:szCs w:val="24"/>
        </w:rPr>
        <w:tab/>
      </w:r>
    </w:p>
    <w:p w:rsidR="003A18D7" w:rsidRPr="001A62CB" w:rsidRDefault="00413911" w:rsidP="00E2727A">
      <w:pPr>
        <w:spacing w:after="0" w:line="240" w:lineRule="auto"/>
        <w:ind w:left="720"/>
        <w:jc w:val="both"/>
        <w:rPr>
          <w:sz w:val="24"/>
          <w:szCs w:val="24"/>
        </w:rPr>
      </w:pPr>
      <w:r>
        <w:rPr>
          <w:sz w:val="24"/>
          <w:szCs w:val="24"/>
        </w:rPr>
        <w:t>Twenty Seven Member Sta</w:t>
      </w:r>
      <w:r w:rsidR="00E2727A">
        <w:rPr>
          <w:sz w:val="24"/>
          <w:szCs w:val="24"/>
        </w:rPr>
        <w:t xml:space="preserve">tes responded to this question. Eighteen </w:t>
      </w:r>
      <w:r w:rsidR="000F78F7">
        <w:rPr>
          <w:sz w:val="24"/>
          <w:szCs w:val="24"/>
        </w:rPr>
        <w:t xml:space="preserve">Member States </w:t>
      </w:r>
      <w:r w:rsidR="00815D01" w:rsidRPr="001A62CB">
        <w:rPr>
          <w:sz w:val="24"/>
          <w:szCs w:val="24"/>
        </w:rPr>
        <w:t>(</w:t>
      </w:r>
      <w:r w:rsidR="00815D01" w:rsidRPr="001A62CB">
        <w:rPr>
          <w:b/>
          <w:sz w:val="24"/>
          <w:szCs w:val="24"/>
        </w:rPr>
        <w:t xml:space="preserve">Austria, Belgium, </w:t>
      </w:r>
      <w:r w:rsidR="00D34A99">
        <w:rPr>
          <w:b/>
          <w:sz w:val="24"/>
          <w:szCs w:val="24"/>
        </w:rPr>
        <w:t xml:space="preserve">Cyprus, </w:t>
      </w:r>
      <w:r w:rsidR="00F664FF">
        <w:rPr>
          <w:b/>
          <w:sz w:val="24"/>
          <w:szCs w:val="24"/>
        </w:rPr>
        <w:t xml:space="preserve">the Czech Republic, </w:t>
      </w:r>
      <w:r w:rsidR="00815D01" w:rsidRPr="001A62CB">
        <w:rPr>
          <w:b/>
          <w:sz w:val="24"/>
          <w:szCs w:val="24"/>
        </w:rPr>
        <w:t xml:space="preserve">Denmark, Estonia, France, Germany, Greece, Ireland, Italy, </w:t>
      </w:r>
      <w:r w:rsidR="002D0444" w:rsidRPr="001A62CB">
        <w:rPr>
          <w:b/>
          <w:sz w:val="24"/>
          <w:szCs w:val="24"/>
        </w:rPr>
        <w:t xml:space="preserve">Malta, </w:t>
      </w:r>
      <w:r w:rsidR="006C5A31">
        <w:rPr>
          <w:b/>
          <w:sz w:val="24"/>
          <w:szCs w:val="24"/>
        </w:rPr>
        <w:t xml:space="preserve">the Netherlands, </w:t>
      </w:r>
      <w:r w:rsidR="00952D6D">
        <w:rPr>
          <w:b/>
          <w:sz w:val="24"/>
          <w:szCs w:val="24"/>
        </w:rPr>
        <w:t xml:space="preserve">Poland, Portugal, </w:t>
      </w:r>
      <w:r w:rsidR="00815D01" w:rsidRPr="001A62CB">
        <w:rPr>
          <w:b/>
          <w:sz w:val="24"/>
          <w:szCs w:val="24"/>
        </w:rPr>
        <w:t>Romania, Slovenia</w:t>
      </w:r>
      <w:r w:rsidR="001E6961" w:rsidRPr="001A62CB">
        <w:rPr>
          <w:b/>
          <w:sz w:val="24"/>
          <w:szCs w:val="24"/>
        </w:rPr>
        <w:t xml:space="preserve">, </w:t>
      </w:r>
      <w:r w:rsidR="00815D01" w:rsidRPr="001A62CB">
        <w:rPr>
          <w:b/>
          <w:sz w:val="24"/>
          <w:szCs w:val="24"/>
        </w:rPr>
        <w:t>and the UK</w:t>
      </w:r>
      <w:r w:rsidR="006C5A31">
        <w:rPr>
          <w:sz w:val="24"/>
          <w:szCs w:val="24"/>
        </w:rPr>
        <w:t xml:space="preserve">) </w:t>
      </w:r>
      <w:r w:rsidR="002B431E">
        <w:rPr>
          <w:sz w:val="24"/>
          <w:szCs w:val="24"/>
        </w:rPr>
        <w:t>repor</w:t>
      </w:r>
      <w:r w:rsidR="002B0211" w:rsidRPr="001A62CB">
        <w:rPr>
          <w:sz w:val="24"/>
          <w:szCs w:val="24"/>
        </w:rPr>
        <w:t xml:space="preserve">ted changes </w:t>
      </w:r>
      <w:r w:rsidR="00D14479">
        <w:rPr>
          <w:sz w:val="24"/>
          <w:szCs w:val="24"/>
        </w:rPr>
        <w:t xml:space="preserve">in pension eligibility covering the </w:t>
      </w:r>
      <w:r w:rsidR="00110DB7">
        <w:rPr>
          <w:sz w:val="24"/>
          <w:szCs w:val="24"/>
        </w:rPr>
        <w:t>areas</w:t>
      </w:r>
      <w:r w:rsidR="00D14479">
        <w:rPr>
          <w:sz w:val="24"/>
          <w:szCs w:val="24"/>
        </w:rPr>
        <w:t xml:space="preserve"> of </w:t>
      </w:r>
      <w:r w:rsidR="00BA2EDB">
        <w:rPr>
          <w:sz w:val="24"/>
          <w:szCs w:val="24"/>
        </w:rPr>
        <w:t xml:space="preserve">retirement age, pension </w:t>
      </w:r>
      <w:r w:rsidR="00235C82">
        <w:rPr>
          <w:sz w:val="24"/>
          <w:szCs w:val="24"/>
        </w:rPr>
        <w:t>contributions</w:t>
      </w:r>
      <w:r w:rsidR="002B0211" w:rsidRPr="001A62CB">
        <w:rPr>
          <w:sz w:val="24"/>
          <w:szCs w:val="24"/>
        </w:rPr>
        <w:t xml:space="preserve"> or conditions of qualification</w:t>
      </w:r>
      <w:r w:rsidR="00110DB7">
        <w:rPr>
          <w:sz w:val="24"/>
          <w:szCs w:val="24"/>
        </w:rPr>
        <w:t xml:space="preserve">. </w:t>
      </w:r>
      <w:r w:rsidR="00E22CA5" w:rsidRPr="001A62CB">
        <w:rPr>
          <w:sz w:val="24"/>
          <w:szCs w:val="24"/>
        </w:rPr>
        <w:t xml:space="preserve">  </w:t>
      </w:r>
    </w:p>
    <w:p w:rsidR="003A18D7" w:rsidRPr="001A62CB" w:rsidRDefault="003A18D7" w:rsidP="003E4FC2">
      <w:pPr>
        <w:spacing w:after="0" w:line="240" w:lineRule="auto"/>
        <w:ind w:left="720"/>
        <w:jc w:val="both"/>
        <w:rPr>
          <w:sz w:val="24"/>
          <w:szCs w:val="24"/>
        </w:rPr>
      </w:pPr>
    </w:p>
    <w:p w:rsidR="00280C63" w:rsidRDefault="00D34A99" w:rsidP="00280C63">
      <w:pPr>
        <w:pStyle w:val="ListParagraph"/>
        <w:spacing w:after="0" w:line="240" w:lineRule="auto"/>
        <w:ind w:left="1440"/>
        <w:jc w:val="both"/>
        <w:rPr>
          <w:sz w:val="24"/>
          <w:szCs w:val="24"/>
        </w:rPr>
      </w:pPr>
      <w:r>
        <w:rPr>
          <w:sz w:val="24"/>
          <w:szCs w:val="24"/>
        </w:rPr>
        <w:t xml:space="preserve">Of these, </w:t>
      </w:r>
      <w:r w:rsidR="008E7D0C">
        <w:rPr>
          <w:sz w:val="24"/>
          <w:szCs w:val="24"/>
        </w:rPr>
        <w:t xml:space="preserve">15 </w:t>
      </w:r>
      <w:r w:rsidR="00BA2EDB">
        <w:rPr>
          <w:sz w:val="24"/>
          <w:szCs w:val="24"/>
        </w:rPr>
        <w:t xml:space="preserve">Member States, </w:t>
      </w:r>
      <w:r w:rsidR="00952D6D">
        <w:rPr>
          <w:b/>
          <w:sz w:val="24"/>
          <w:szCs w:val="24"/>
        </w:rPr>
        <w:t xml:space="preserve">(Austria, Belgium, </w:t>
      </w:r>
      <w:r w:rsidR="00F32F43">
        <w:rPr>
          <w:b/>
          <w:sz w:val="24"/>
          <w:szCs w:val="24"/>
        </w:rPr>
        <w:t xml:space="preserve">Cyprus, </w:t>
      </w:r>
      <w:r w:rsidR="00952D6D">
        <w:rPr>
          <w:b/>
          <w:sz w:val="24"/>
          <w:szCs w:val="24"/>
        </w:rPr>
        <w:t>t</w:t>
      </w:r>
      <w:r w:rsidR="00F664FF" w:rsidRPr="002410CD">
        <w:rPr>
          <w:b/>
          <w:sz w:val="24"/>
          <w:szCs w:val="24"/>
        </w:rPr>
        <w:t xml:space="preserve">he Czech Republic, Denmark, Estonia, France, </w:t>
      </w:r>
      <w:r w:rsidR="002410CD" w:rsidRPr="002410CD">
        <w:rPr>
          <w:b/>
          <w:sz w:val="24"/>
          <w:szCs w:val="24"/>
        </w:rPr>
        <w:t>Germany, Ireland</w:t>
      </w:r>
      <w:r w:rsidR="009D055C" w:rsidRPr="002410CD">
        <w:rPr>
          <w:b/>
          <w:sz w:val="24"/>
          <w:szCs w:val="24"/>
        </w:rPr>
        <w:t>,</w:t>
      </w:r>
      <w:r w:rsidR="001E6961" w:rsidRPr="002410CD">
        <w:rPr>
          <w:b/>
          <w:sz w:val="24"/>
          <w:szCs w:val="24"/>
        </w:rPr>
        <w:t xml:space="preserve"> Italy</w:t>
      </w:r>
      <w:r w:rsidR="002410CD" w:rsidRPr="002410CD">
        <w:rPr>
          <w:b/>
          <w:sz w:val="24"/>
          <w:szCs w:val="24"/>
        </w:rPr>
        <w:t xml:space="preserve">, </w:t>
      </w:r>
      <w:r w:rsidR="009D055C" w:rsidRPr="002410CD">
        <w:rPr>
          <w:b/>
          <w:sz w:val="24"/>
          <w:szCs w:val="24"/>
        </w:rPr>
        <w:t>Malta</w:t>
      </w:r>
      <w:r w:rsidR="002410CD" w:rsidRPr="002410CD">
        <w:rPr>
          <w:b/>
          <w:sz w:val="24"/>
          <w:szCs w:val="24"/>
        </w:rPr>
        <w:t>,</w:t>
      </w:r>
      <w:r w:rsidR="00952D6D">
        <w:rPr>
          <w:b/>
          <w:sz w:val="24"/>
          <w:szCs w:val="24"/>
        </w:rPr>
        <w:t xml:space="preserve"> Poland, Portugal, </w:t>
      </w:r>
      <w:r w:rsidR="002410CD" w:rsidRPr="002410CD">
        <w:rPr>
          <w:b/>
          <w:sz w:val="24"/>
          <w:szCs w:val="24"/>
        </w:rPr>
        <w:t>Romania</w:t>
      </w:r>
      <w:r w:rsidR="00952D6D">
        <w:rPr>
          <w:b/>
          <w:sz w:val="24"/>
          <w:szCs w:val="24"/>
        </w:rPr>
        <w:t xml:space="preserve"> and Slovenia</w:t>
      </w:r>
      <w:r w:rsidR="008E7D0C">
        <w:rPr>
          <w:b/>
          <w:sz w:val="24"/>
          <w:szCs w:val="24"/>
        </w:rPr>
        <w:t>)</w:t>
      </w:r>
      <w:r w:rsidR="001E6961" w:rsidRPr="001A62CB">
        <w:rPr>
          <w:sz w:val="24"/>
          <w:szCs w:val="24"/>
        </w:rPr>
        <w:t xml:space="preserve"> </w:t>
      </w:r>
      <w:r w:rsidR="00E22CA5" w:rsidRPr="001A62CB">
        <w:rPr>
          <w:sz w:val="24"/>
          <w:szCs w:val="24"/>
        </w:rPr>
        <w:t>reported incremental increase</w:t>
      </w:r>
      <w:r w:rsidR="00815D01" w:rsidRPr="001A62CB">
        <w:rPr>
          <w:sz w:val="24"/>
          <w:szCs w:val="24"/>
        </w:rPr>
        <w:t>s</w:t>
      </w:r>
      <w:r w:rsidR="00E22CA5" w:rsidRPr="001A62CB">
        <w:rPr>
          <w:sz w:val="24"/>
          <w:szCs w:val="24"/>
        </w:rPr>
        <w:t xml:space="preserve"> in the statutory retirement age</w:t>
      </w:r>
      <w:r w:rsidR="00C26757">
        <w:rPr>
          <w:sz w:val="24"/>
          <w:szCs w:val="24"/>
        </w:rPr>
        <w:t>;</w:t>
      </w:r>
      <w:r w:rsidR="00C26757" w:rsidRPr="001A62CB">
        <w:rPr>
          <w:sz w:val="24"/>
          <w:szCs w:val="24"/>
        </w:rPr>
        <w:t xml:space="preserve"> retirement</w:t>
      </w:r>
      <w:r w:rsidR="00952D6D">
        <w:rPr>
          <w:sz w:val="24"/>
          <w:szCs w:val="24"/>
        </w:rPr>
        <w:t xml:space="preserve"> ages now range from </w:t>
      </w:r>
      <w:r w:rsidR="00F32F43">
        <w:rPr>
          <w:sz w:val="24"/>
          <w:szCs w:val="24"/>
        </w:rPr>
        <w:t>60 to</w:t>
      </w:r>
      <w:r w:rsidR="00952D6D">
        <w:rPr>
          <w:sz w:val="24"/>
          <w:szCs w:val="24"/>
        </w:rPr>
        <w:t xml:space="preserve"> 70. </w:t>
      </w:r>
    </w:p>
    <w:p w:rsidR="00BA2EDB" w:rsidRPr="001A62CB" w:rsidRDefault="00BA2EDB" w:rsidP="00280C63">
      <w:pPr>
        <w:pStyle w:val="ListParagraph"/>
        <w:spacing w:after="0" w:line="240" w:lineRule="auto"/>
        <w:ind w:left="1440"/>
        <w:jc w:val="both"/>
        <w:rPr>
          <w:sz w:val="24"/>
          <w:szCs w:val="24"/>
        </w:rPr>
      </w:pPr>
    </w:p>
    <w:p w:rsidR="00F664FF" w:rsidRDefault="003A18D7" w:rsidP="00280C63">
      <w:pPr>
        <w:pStyle w:val="ListParagraph"/>
        <w:spacing w:after="0" w:line="240" w:lineRule="auto"/>
        <w:ind w:left="1440"/>
        <w:jc w:val="both"/>
        <w:rPr>
          <w:sz w:val="24"/>
          <w:szCs w:val="24"/>
        </w:rPr>
      </w:pPr>
      <w:r w:rsidRPr="00F664FF">
        <w:rPr>
          <w:sz w:val="24"/>
          <w:szCs w:val="24"/>
        </w:rPr>
        <w:t xml:space="preserve">In </w:t>
      </w:r>
      <w:r w:rsidRPr="006F6242">
        <w:rPr>
          <w:b/>
          <w:sz w:val="24"/>
          <w:szCs w:val="24"/>
        </w:rPr>
        <w:t>Ireland</w:t>
      </w:r>
      <w:r w:rsidRPr="00F664FF">
        <w:rPr>
          <w:sz w:val="24"/>
          <w:szCs w:val="24"/>
        </w:rPr>
        <w:t xml:space="preserve">, </w:t>
      </w:r>
      <w:r w:rsidR="00F664FF" w:rsidRPr="00F664FF">
        <w:rPr>
          <w:sz w:val="24"/>
          <w:szCs w:val="24"/>
        </w:rPr>
        <w:t xml:space="preserve">in </w:t>
      </w:r>
      <w:r w:rsidR="00952D6D">
        <w:rPr>
          <w:sz w:val="24"/>
          <w:szCs w:val="24"/>
        </w:rPr>
        <w:t xml:space="preserve">January </w:t>
      </w:r>
      <w:r w:rsidR="00F664FF" w:rsidRPr="00F664FF">
        <w:rPr>
          <w:sz w:val="24"/>
          <w:szCs w:val="24"/>
        </w:rPr>
        <w:t>2013 a new Single Pension Scheme was introduced for new entrants</w:t>
      </w:r>
      <w:r w:rsidR="00952D6D">
        <w:rPr>
          <w:sz w:val="24"/>
          <w:szCs w:val="24"/>
        </w:rPr>
        <w:t xml:space="preserve">. It provides for </w:t>
      </w:r>
      <w:r w:rsidR="00F664FF" w:rsidRPr="00F664FF">
        <w:rPr>
          <w:sz w:val="24"/>
          <w:szCs w:val="24"/>
        </w:rPr>
        <w:t>an incremental increase in the minimum pension age (from 66 to 68)</w:t>
      </w:r>
      <w:r w:rsidR="00952D6D">
        <w:rPr>
          <w:sz w:val="24"/>
          <w:szCs w:val="24"/>
        </w:rPr>
        <w:t xml:space="preserve">, </w:t>
      </w:r>
      <w:r w:rsidR="00F664FF" w:rsidRPr="00F664FF">
        <w:rPr>
          <w:sz w:val="24"/>
          <w:szCs w:val="24"/>
        </w:rPr>
        <w:t>a “career average pay” system</w:t>
      </w:r>
      <w:r w:rsidR="00952D6D">
        <w:rPr>
          <w:sz w:val="24"/>
          <w:szCs w:val="24"/>
        </w:rPr>
        <w:t xml:space="preserve">, a </w:t>
      </w:r>
      <w:r w:rsidRPr="00F664FF">
        <w:rPr>
          <w:sz w:val="24"/>
          <w:szCs w:val="24"/>
        </w:rPr>
        <w:t xml:space="preserve">40-year limit on pensionable service and the extension of pension abatement) on re-entering public service employment.  </w:t>
      </w:r>
    </w:p>
    <w:p w:rsidR="006C5A31" w:rsidRDefault="006C5A31" w:rsidP="006C5A31">
      <w:pPr>
        <w:pStyle w:val="ListParagraph"/>
        <w:spacing w:after="0" w:line="240" w:lineRule="auto"/>
        <w:ind w:left="1440"/>
        <w:jc w:val="both"/>
        <w:rPr>
          <w:sz w:val="24"/>
          <w:szCs w:val="24"/>
        </w:rPr>
      </w:pPr>
    </w:p>
    <w:p w:rsidR="006C5A31" w:rsidRDefault="006C5A31" w:rsidP="006C5A31">
      <w:pPr>
        <w:pStyle w:val="ListParagraph"/>
        <w:spacing w:after="0" w:line="240" w:lineRule="auto"/>
        <w:ind w:left="1440"/>
        <w:jc w:val="both"/>
        <w:rPr>
          <w:sz w:val="24"/>
          <w:szCs w:val="24"/>
        </w:rPr>
      </w:pPr>
      <w:r>
        <w:rPr>
          <w:sz w:val="24"/>
          <w:szCs w:val="24"/>
        </w:rPr>
        <w:t xml:space="preserve">The </w:t>
      </w:r>
      <w:r w:rsidRPr="006F6242">
        <w:rPr>
          <w:b/>
          <w:sz w:val="24"/>
          <w:szCs w:val="24"/>
        </w:rPr>
        <w:t>UK</w:t>
      </w:r>
      <w:r>
        <w:rPr>
          <w:sz w:val="24"/>
          <w:szCs w:val="24"/>
        </w:rPr>
        <w:t xml:space="preserve"> reported plans </w:t>
      </w:r>
      <w:r w:rsidR="00C26757">
        <w:rPr>
          <w:sz w:val="24"/>
          <w:szCs w:val="24"/>
        </w:rPr>
        <w:t>to introduce a new pension scheme from 2015.</w:t>
      </w:r>
    </w:p>
    <w:p w:rsidR="006C5A31" w:rsidRDefault="006C5A31" w:rsidP="006C5A31">
      <w:pPr>
        <w:pStyle w:val="ListParagraph"/>
        <w:spacing w:after="0" w:line="240" w:lineRule="auto"/>
        <w:ind w:left="1440"/>
        <w:jc w:val="both"/>
        <w:rPr>
          <w:sz w:val="24"/>
          <w:szCs w:val="24"/>
        </w:rPr>
      </w:pPr>
    </w:p>
    <w:p w:rsidR="006C5A31" w:rsidRPr="00F664FF" w:rsidRDefault="006C5A31" w:rsidP="006C5A31">
      <w:pPr>
        <w:pStyle w:val="ListParagraph"/>
        <w:spacing w:after="0" w:line="240" w:lineRule="auto"/>
        <w:ind w:left="1440"/>
        <w:jc w:val="both"/>
        <w:rPr>
          <w:sz w:val="24"/>
          <w:szCs w:val="24"/>
        </w:rPr>
      </w:pPr>
      <w:r w:rsidRPr="00F664FF">
        <w:rPr>
          <w:sz w:val="24"/>
          <w:szCs w:val="24"/>
        </w:rPr>
        <w:t xml:space="preserve">Some Member States, including </w:t>
      </w:r>
      <w:r w:rsidRPr="006F6242">
        <w:rPr>
          <w:b/>
          <w:sz w:val="24"/>
          <w:szCs w:val="24"/>
        </w:rPr>
        <w:t>Austria</w:t>
      </w:r>
      <w:r w:rsidRPr="00F664FF">
        <w:rPr>
          <w:sz w:val="24"/>
          <w:szCs w:val="24"/>
        </w:rPr>
        <w:t xml:space="preserve">, reported measures to discourage early retirement, while </w:t>
      </w:r>
      <w:r w:rsidRPr="006F6242">
        <w:rPr>
          <w:b/>
          <w:sz w:val="24"/>
          <w:szCs w:val="24"/>
        </w:rPr>
        <w:t>Greece</w:t>
      </w:r>
      <w:r w:rsidRPr="00F664FF">
        <w:rPr>
          <w:sz w:val="24"/>
          <w:szCs w:val="24"/>
        </w:rPr>
        <w:t xml:space="preserve"> reported measures to encourage early retirement.   </w:t>
      </w:r>
    </w:p>
    <w:p w:rsidR="00280C63" w:rsidRDefault="00280C63" w:rsidP="00280C63">
      <w:pPr>
        <w:pStyle w:val="ListParagraph"/>
        <w:spacing w:after="0" w:line="240" w:lineRule="auto"/>
        <w:ind w:left="1440"/>
        <w:jc w:val="both"/>
        <w:rPr>
          <w:sz w:val="24"/>
          <w:szCs w:val="24"/>
        </w:rPr>
      </w:pPr>
    </w:p>
    <w:p w:rsidR="00F32F43" w:rsidRDefault="002410CD" w:rsidP="00280C63">
      <w:pPr>
        <w:pStyle w:val="ListParagraph"/>
        <w:spacing w:after="0" w:line="240" w:lineRule="auto"/>
        <w:ind w:left="1440"/>
        <w:jc w:val="both"/>
        <w:rPr>
          <w:sz w:val="24"/>
          <w:szCs w:val="24"/>
        </w:rPr>
      </w:pPr>
      <w:r>
        <w:rPr>
          <w:sz w:val="24"/>
          <w:szCs w:val="24"/>
        </w:rPr>
        <w:t xml:space="preserve">Changes in contribution rates are reported by </w:t>
      </w:r>
      <w:r w:rsidR="00110DB7">
        <w:rPr>
          <w:sz w:val="24"/>
          <w:szCs w:val="24"/>
        </w:rPr>
        <w:t xml:space="preserve">4 </w:t>
      </w:r>
      <w:r>
        <w:rPr>
          <w:sz w:val="24"/>
          <w:szCs w:val="24"/>
        </w:rPr>
        <w:t>Member States (</w:t>
      </w:r>
      <w:r>
        <w:rPr>
          <w:b/>
          <w:sz w:val="24"/>
          <w:szCs w:val="24"/>
        </w:rPr>
        <w:t xml:space="preserve">Cyprus, France, </w:t>
      </w:r>
      <w:r w:rsidR="00F32F43">
        <w:rPr>
          <w:b/>
          <w:sz w:val="24"/>
          <w:szCs w:val="24"/>
        </w:rPr>
        <w:t>Ireland</w:t>
      </w:r>
      <w:r w:rsidR="00BA2EDB">
        <w:rPr>
          <w:b/>
          <w:sz w:val="24"/>
          <w:szCs w:val="24"/>
        </w:rPr>
        <w:t xml:space="preserve"> and the Netherlands</w:t>
      </w:r>
      <w:r>
        <w:rPr>
          <w:b/>
          <w:sz w:val="24"/>
          <w:szCs w:val="24"/>
        </w:rPr>
        <w:t>)</w:t>
      </w:r>
      <w:r w:rsidR="00F32F43">
        <w:rPr>
          <w:b/>
          <w:sz w:val="24"/>
          <w:szCs w:val="24"/>
        </w:rPr>
        <w:t>.</w:t>
      </w:r>
      <w:r>
        <w:rPr>
          <w:sz w:val="24"/>
          <w:szCs w:val="24"/>
        </w:rPr>
        <w:t xml:space="preserve"> </w:t>
      </w:r>
    </w:p>
    <w:p w:rsidR="00280C63" w:rsidRDefault="00280C63" w:rsidP="00280C63">
      <w:pPr>
        <w:pStyle w:val="ListParagraph"/>
        <w:spacing w:after="0" w:line="240" w:lineRule="auto"/>
        <w:ind w:left="1440"/>
        <w:jc w:val="both"/>
        <w:rPr>
          <w:sz w:val="24"/>
          <w:szCs w:val="24"/>
        </w:rPr>
      </w:pPr>
    </w:p>
    <w:p w:rsidR="00527D3F" w:rsidRDefault="00E3171E" w:rsidP="006434A9">
      <w:pPr>
        <w:spacing w:after="0" w:line="240" w:lineRule="auto"/>
        <w:ind w:left="720"/>
        <w:jc w:val="both"/>
        <w:rPr>
          <w:sz w:val="24"/>
          <w:szCs w:val="24"/>
        </w:rPr>
      </w:pPr>
      <w:r>
        <w:rPr>
          <w:sz w:val="24"/>
          <w:szCs w:val="24"/>
        </w:rPr>
        <w:t>The</w:t>
      </w:r>
      <w:r w:rsidR="00DC4AC3" w:rsidRPr="00D115E0">
        <w:rPr>
          <w:sz w:val="24"/>
          <w:szCs w:val="24"/>
        </w:rPr>
        <w:t xml:space="preserve"> most common changes reported by Member States were </w:t>
      </w:r>
      <w:r>
        <w:rPr>
          <w:sz w:val="24"/>
          <w:szCs w:val="24"/>
        </w:rPr>
        <w:t>increases in</w:t>
      </w:r>
      <w:r w:rsidR="00DC4AC3">
        <w:rPr>
          <w:sz w:val="24"/>
          <w:szCs w:val="24"/>
        </w:rPr>
        <w:t xml:space="preserve"> the statutory retiremen</w:t>
      </w:r>
      <w:r w:rsidR="006434A9">
        <w:rPr>
          <w:sz w:val="24"/>
          <w:szCs w:val="24"/>
        </w:rPr>
        <w:t>t age. Other changes included</w:t>
      </w:r>
      <w:r w:rsidR="00DC4AC3">
        <w:rPr>
          <w:sz w:val="24"/>
          <w:szCs w:val="24"/>
        </w:rPr>
        <w:t xml:space="preserve"> </w:t>
      </w:r>
      <w:r>
        <w:rPr>
          <w:sz w:val="24"/>
          <w:szCs w:val="24"/>
        </w:rPr>
        <w:t>the tightening of early retirement</w:t>
      </w:r>
      <w:r w:rsidR="006434A9">
        <w:rPr>
          <w:sz w:val="24"/>
          <w:szCs w:val="24"/>
        </w:rPr>
        <w:t xml:space="preserve"> conditions</w:t>
      </w:r>
      <w:r>
        <w:rPr>
          <w:sz w:val="24"/>
          <w:szCs w:val="24"/>
        </w:rPr>
        <w:t>, an increase in pensionable service, revised contributions/contribution period and the introduction of a career-average scheme</w:t>
      </w:r>
      <w:r w:rsidR="00DC4AC3" w:rsidRPr="00D115E0">
        <w:rPr>
          <w:sz w:val="24"/>
          <w:szCs w:val="24"/>
        </w:rPr>
        <w:t>.</w:t>
      </w:r>
      <w:r w:rsidR="00DC4AC3">
        <w:rPr>
          <w:b/>
          <w:sz w:val="24"/>
          <w:szCs w:val="24"/>
        </w:rPr>
        <w:t xml:space="preserve">  </w:t>
      </w:r>
    </w:p>
    <w:p w:rsidR="00EC539D" w:rsidRPr="00413911" w:rsidRDefault="00CF7FE4" w:rsidP="00051EB0">
      <w:pPr>
        <w:spacing w:after="0" w:line="240" w:lineRule="auto"/>
        <w:jc w:val="both"/>
        <w:rPr>
          <w:b/>
          <w:sz w:val="24"/>
          <w:szCs w:val="24"/>
        </w:rPr>
      </w:pPr>
      <w:r>
        <w:rPr>
          <w:b/>
          <w:sz w:val="24"/>
          <w:szCs w:val="24"/>
        </w:rPr>
        <w:lastRenderedPageBreak/>
        <w:t>d</w:t>
      </w:r>
      <w:r w:rsidR="00413911">
        <w:rPr>
          <w:b/>
          <w:sz w:val="24"/>
          <w:szCs w:val="24"/>
        </w:rPr>
        <w:t>.</w:t>
      </w:r>
      <w:r w:rsidR="00230381" w:rsidRPr="00413911">
        <w:rPr>
          <w:b/>
          <w:sz w:val="24"/>
          <w:szCs w:val="24"/>
        </w:rPr>
        <w:tab/>
      </w:r>
      <w:r w:rsidR="00EC539D" w:rsidRPr="00413911">
        <w:rPr>
          <w:b/>
          <w:sz w:val="24"/>
          <w:szCs w:val="24"/>
        </w:rPr>
        <w:t>Holiday / Annual Leave Entitlements</w:t>
      </w:r>
    </w:p>
    <w:p w:rsidR="00EC539D" w:rsidRDefault="00EC539D" w:rsidP="003E4FC2">
      <w:pPr>
        <w:spacing w:after="0" w:line="240" w:lineRule="auto"/>
        <w:jc w:val="both"/>
        <w:rPr>
          <w:sz w:val="24"/>
          <w:szCs w:val="24"/>
        </w:rPr>
      </w:pPr>
    </w:p>
    <w:p w:rsidR="00527D3F" w:rsidRPr="00C26757" w:rsidRDefault="00307E3D" w:rsidP="00C26757">
      <w:pPr>
        <w:spacing w:after="0" w:line="240" w:lineRule="auto"/>
        <w:ind w:left="2880" w:hanging="1440"/>
        <w:jc w:val="both"/>
        <w:rPr>
          <w:b/>
          <w:sz w:val="20"/>
          <w:szCs w:val="20"/>
        </w:rPr>
      </w:pPr>
      <w:r w:rsidRPr="00F0167C">
        <w:rPr>
          <w:b/>
          <w:sz w:val="20"/>
          <w:szCs w:val="20"/>
        </w:rPr>
        <w:t>Figure 1.12</w:t>
      </w:r>
      <w:r w:rsidR="00527D3F" w:rsidRPr="00F0167C">
        <w:rPr>
          <w:b/>
          <w:sz w:val="20"/>
          <w:szCs w:val="20"/>
        </w:rPr>
        <w:t>:</w:t>
      </w:r>
      <w:r w:rsidR="00527D3F" w:rsidRPr="00C26757">
        <w:rPr>
          <w:sz w:val="20"/>
          <w:szCs w:val="20"/>
        </w:rPr>
        <w:t xml:space="preserve"> </w:t>
      </w:r>
      <w:r w:rsidR="00AB3631" w:rsidRPr="00C26757">
        <w:rPr>
          <w:sz w:val="20"/>
          <w:szCs w:val="20"/>
        </w:rPr>
        <w:tab/>
      </w:r>
      <w:r w:rsidR="00527D3F" w:rsidRPr="00C26757">
        <w:rPr>
          <w:b/>
          <w:sz w:val="20"/>
          <w:szCs w:val="20"/>
        </w:rPr>
        <w:t>Holiday / Annual Leave Entitlements</w:t>
      </w:r>
      <w:r w:rsidR="00527D3F" w:rsidRPr="00C26757">
        <w:rPr>
          <w:sz w:val="20"/>
          <w:szCs w:val="20"/>
        </w:rPr>
        <w:t xml:space="preserve"> </w:t>
      </w:r>
      <w:r w:rsidR="00527D3F" w:rsidRPr="00C26757">
        <w:rPr>
          <w:b/>
          <w:sz w:val="20"/>
          <w:szCs w:val="20"/>
        </w:rPr>
        <w:t>across EUPAN Member States</w:t>
      </w:r>
      <w:r w:rsidR="00C26757" w:rsidRPr="00C26757">
        <w:rPr>
          <w:b/>
          <w:sz w:val="20"/>
          <w:szCs w:val="20"/>
        </w:rPr>
        <w:t xml:space="preserve"> – 2012</w:t>
      </w:r>
      <w:r w:rsidR="00AB3631" w:rsidRPr="00C26757">
        <w:rPr>
          <w:b/>
          <w:sz w:val="20"/>
          <w:szCs w:val="20"/>
        </w:rPr>
        <w:t xml:space="preserve"> vs. 2006</w:t>
      </w:r>
      <w:r w:rsidR="00AB3631" w:rsidRPr="00C26757">
        <w:rPr>
          <w:sz w:val="20"/>
          <w:szCs w:val="20"/>
        </w:rPr>
        <w:t xml:space="preserve"> </w:t>
      </w:r>
      <w:r w:rsidR="00AB3631" w:rsidRPr="00C26757">
        <w:rPr>
          <w:b/>
          <w:sz w:val="20"/>
          <w:szCs w:val="20"/>
        </w:rPr>
        <w:t xml:space="preserve"> </w:t>
      </w:r>
    </w:p>
    <w:p w:rsidR="00527D3F" w:rsidRPr="001A62CB" w:rsidRDefault="00527D3F" w:rsidP="003E4FC2">
      <w:pPr>
        <w:spacing w:after="0" w:line="240" w:lineRule="auto"/>
        <w:jc w:val="both"/>
        <w:rPr>
          <w:sz w:val="24"/>
          <w:szCs w:val="24"/>
        </w:rPr>
      </w:pPr>
    </w:p>
    <w:p w:rsidR="00884FBC" w:rsidRPr="001A62CB" w:rsidRDefault="00E2727A" w:rsidP="003E4FC2">
      <w:pPr>
        <w:spacing w:after="0" w:line="240" w:lineRule="auto"/>
        <w:ind w:left="709"/>
        <w:jc w:val="both"/>
        <w:rPr>
          <w:sz w:val="24"/>
          <w:szCs w:val="24"/>
        </w:rPr>
      </w:pPr>
      <w:r>
        <w:rPr>
          <w:noProof/>
          <w:sz w:val="24"/>
          <w:szCs w:val="24"/>
          <w:lang w:val="en-US"/>
        </w:rPr>
        <w:drawing>
          <wp:inline distT="0" distB="0" distL="0" distR="0" wp14:anchorId="0D0A3888" wp14:editId="5C27605E">
            <wp:extent cx="5457825" cy="2486025"/>
            <wp:effectExtent l="0" t="0" r="9525" b="9525"/>
            <wp:docPr id="12" name="Object 1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D5773D">
        <w:t xml:space="preserve"> </w:t>
      </w:r>
    </w:p>
    <w:p w:rsidR="00865274" w:rsidRDefault="004E3E78" w:rsidP="00C26757">
      <w:pPr>
        <w:spacing w:after="0" w:line="240" w:lineRule="auto"/>
        <w:ind w:left="709"/>
        <w:jc w:val="both"/>
        <w:rPr>
          <w:sz w:val="24"/>
          <w:szCs w:val="24"/>
        </w:rPr>
      </w:pPr>
      <w:r>
        <w:rPr>
          <w:sz w:val="24"/>
          <w:szCs w:val="24"/>
        </w:rPr>
        <w:t xml:space="preserve">Twenty seven </w:t>
      </w:r>
      <w:r w:rsidR="00D2404F">
        <w:rPr>
          <w:sz w:val="24"/>
          <w:szCs w:val="24"/>
        </w:rPr>
        <w:t xml:space="preserve">Member States </w:t>
      </w:r>
      <w:r w:rsidR="00C26757">
        <w:rPr>
          <w:sz w:val="24"/>
          <w:szCs w:val="24"/>
        </w:rPr>
        <w:t>responded to this question. Of these, ten</w:t>
      </w:r>
      <w:r w:rsidR="00610E80">
        <w:rPr>
          <w:sz w:val="24"/>
          <w:szCs w:val="24"/>
        </w:rPr>
        <w:t xml:space="preserve"> </w:t>
      </w:r>
      <w:r w:rsidR="00E74D76" w:rsidRPr="001A62CB">
        <w:rPr>
          <w:sz w:val="24"/>
          <w:szCs w:val="24"/>
        </w:rPr>
        <w:t xml:space="preserve">Member States </w:t>
      </w:r>
      <w:r w:rsidR="00153067" w:rsidRPr="001A62CB">
        <w:rPr>
          <w:sz w:val="24"/>
          <w:szCs w:val="24"/>
        </w:rPr>
        <w:t>(</w:t>
      </w:r>
      <w:r w:rsidR="00153067" w:rsidRPr="001A62CB">
        <w:rPr>
          <w:b/>
          <w:sz w:val="24"/>
          <w:szCs w:val="24"/>
        </w:rPr>
        <w:t>Austria, Belgium, Estonia, Germany, Greece, Hungary, Ireland, Italy, Portugal and Slovenia</w:t>
      </w:r>
      <w:r w:rsidR="00153067" w:rsidRPr="001A62CB">
        <w:rPr>
          <w:sz w:val="24"/>
          <w:szCs w:val="24"/>
        </w:rPr>
        <w:t xml:space="preserve">) </w:t>
      </w:r>
      <w:r w:rsidR="00E74D76" w:rsidRPr="001A62CB">
        <w:rPr>
          <w:sz w:val="24"/>
          <w:szCs w:val="24"/>
        </w:rPr>
        <w:t xml:space="preserve">indicated that there had been changes to holiday/annual leave entitlements since 2009.  </w:t>
      </w:r>
      <w:r w:rsidR="002E25A0">
        <w:rPr>
          <w:sz w:val="24"/>
          <w:szCs w:val="24"/>
        </w:rPr>
        <w:t>The other respondents reported no chang</w:t>
      </w:r>
      <w:r w:rsidR="00C26757">
        <w:rPr>
          <w:sz w:val="24"/>
          <w:szCs w:val="24"/>
        </w:rPr>
        <w:t>e.</w:t>
      </w:r>
    </w:p>
    <w:p w:rsidR="00865274" w:rsidRDefault="00865274" w:rsidP="003E4FC2">
      <w:pPr>
        <w:spacing w:after="0" w:line="240" w:lineRule="auto"/>
        <w:ind w:left="720"/>
        <w:jc w:val="both"/>
        <w:rPr>
          <w:sz w:val="24"/>
          <w:szCs w:val="24"/>
        </w:rPr>
      </w:pPr>
    </w:p>
    <w:p w:rsidR="00865274" w:rsidRDefault="00E74D76" w:rsidP="003E4FC2">
      <w:pPr>
        <w:spacing w:after="0" w:line="240" w:lineRule="auto"/>
        <w:ind w:left="720"/>
        <w:jc w:val="both"/>
        <w:rPr>
          <w:sz w:val="24"/>
          <w:szCs w:val="24"/>
        </w:rPr>
      </w:pPr>
      <w:r w:rsidRPr="001A62CB">
        <w:rPr>
          <w:sz w:val="24"/>
          <w:szCs w:val="24"/>
        </w:rPr>
        <w:t xml:space="preserve">Some Member States, </w:t>
      </w:r>
      <w:r w:rsidR="00691A22" w:rsidRPr="001A62CB">
        <w:rPr>
          <w:sz w:val="24"/>
          <w:szCs w:val="24"/>
        </w:rPr>
        <w:t>including</w:t>
      </w:r>
      <w:r w:rsidRPr="001A62CB">
        <w:rPr>
          <w:sz w:val="24"/>
          <w:szCs w:val="24"/>
        </w:rPr>
        <w:t xml:space="preserve"> </w:t>
      </w:r>
      <w:r w:rsidR="00691A22" w:rsidRPr="006F6242">
        <w:rPr>
          <w:b/>
          <w:sz w:val="24"/>
          <w:szCs w:val="24"/>
        </w:rPr>
        <w:t>Ireland</w:t>
      </w:r>
      <w:r w:rsidR="00691A22" w:rsidRPr="001A62CB">
        <w:rPr>
          <w:sz w:val="24"/>
          <w:szCs w:val="24"/>
        </w:rPr>
        <w:t xml:space="preserve"> and </w:t>
      </w:r>
      <w:r w:rsidR="00691A22" w:rsidRPr="006F6242">
        <w:rPr>
          <w:b/>
          <w:sz w:val="24"/>
          <w:szCs w:val="24"/>
        </w:rPr>
        <w:t>Portugal</w:t>
      </w:r>
      <w:r w:rsidRPr="001A62CB">
        <w:rPr>
          <w:sz w:val="24"/>
          <w:szCs w:val="24"/>
        </w:rPr>
        <w:t xml:space="preserve">, </w:t>
      </w:r>
      <w:r w:rsidR="00DA0359" w:rsidRPr="001A62CB">
        <w:rPr>
          <w:sz w:val="24"/>
          <w:szCs w:val="24"/>
        </w:rPr>
        <w:t>reported</w:t>
      </w:r>
      <w:r w:rsidRPr="001A62CB">
        <w:rPr>
          <w:sz w:val="24"/>
          <w:szCs w:val="24"/>
        </w:rPr>
        <w:t xml:space="preserve"> reduction</w:t>
      </w:r>
      <w:r w:rsidR="00153067" w:rsidRPr="001A62CB">
        <w:rPr>
          <w:sz w:val="24"/>
          <w:szCs w:val="24"/>
        </w:rPr>
        <w:t>s</w:t>
      </w:r>
      <w:r w:rsidRPr="001A62CB">
        <w:rPr>
          <w:sz w:val="24"/>
          <w:szCs w:val="24"/>
        </w:rPr>
        <w:t xml:space="preserve"> in the number of holidays. </w:t>
      </w:r>
    </w:p>
    <w:p w:rsidR="00865274" w:rsidRDefault="00865274" w:rsidP="003E4FC2">
      <w:pPr>
        <w:spacing w:after="0" w:line="240" w:lineRule="auto"/>
        <w:ind w:left="720"/>
        <w:jc w:val="both"/>
        <w:rPr>
          <w:sz w:val="24"/>
          <w:szCs w:val="24"/>
        </w:rPr>
      </w:pPr>
    </w:p>
    <w:p w:rsidR="002E25A0" w:rsidRDefault="00865274" w:rsidP="003E4FC2">
      <w:pPr>
        <w:spacing w:after="0" w:line="240" w:lineRule="auto"/>
        <w:ind w:left="720"/>
        <w:jc w:val="both"/>
        <w:rPr>
          <w:sz w:val="24"/>
          <w:szCs w:val="24"/>
        </w:rPr>
      </w:pPr>
      <w:r w:rsidRPr="006F6242">
        <w:rPr>
          <w:b/>
          <w:sz w:val="24"/>
          <w:szCs w:val="24"/>
        </w:rPr>
        <w:t>Germany</w:t>
      </w:r>
      <w:r>
        <w:rPr>
          <w:sz w:val="24"/>
          <w:szCs w:val="24"/>
        </w:rPr>
        <w:t xml:space="preserve"> and </w:t>
      </w:r>
      <w:r w:rsidRPr="006F6242">
        <w:rPr>
          <w:b/>
          <w:sz w:val="24"/>
          <w:szCs w:val="24"/>
        </w:rPr>
        <w:t>Belgium</w:t>
      </w:r>
      <w:r>
        <w:rPr>
          <w:sz w:val="24"/>
          <w:szCs w:val="24"/>
        </w:rPr>
        <w:t xml:space="preserve"> report</w:t>
      </w:r>
      <w:r w:rsidR="00153FE5">
        <w:rPr>
          <w:sz w:val="24"/>
          <w:szCs w:val="24"/>
        </w:rPr>
        <w:t>ed</w:t>
      </w:r>
      <w:r w:rsidR="00527D3F">
        <w:rPr>
          <w:sz w:val="24"/>
          <w:szCs w:val="24"/>
        </w:rPr>
        <w:t xml:space="preserve"> an</w:t>
      </w:r>
      <w:r>
        <w:rPr>
          <w:sz w:val="24"/>
          <w:szCs w:val="24"/>
        </w:rPr>
        <w:t xml:space="preserve"> increase in the number of days</w:t>
      </w:r>
      <w:r w:rsidR="00D2404F">
        <w:rPr>
          <w:sz w:val="24"/>
          <w:szCs w:val="24"/>
        </w:rPr>
        <w:t>’</w:t>
      </w:r>
      <w:r w:rsidR="002E25A0">
        <w:rPr>
          <w:sz w:val="24"/>
          <w:szCs w:val="24"/>
        </w:rPr>
        <w:t xml:space="preserve"> annual leave based on either service or age. </w:t>
      </w:r>
    </w:p>
    <w:p w:rsidR="002E25A0" w:rsidRDefault="002E25A0" w:rsidP="003E4FC2">
      <w:pPr>
        <w:spacing w:after="0" w:line="240" w:lineRule="auto"/>
        <w:ind w:left="720"/>
        <w:jc w:val="both"/>
        <w:rPr>
          <w:b/>
          <w:sz w:val="24"/>
          <w:szCs w:val="24"/>
        </w:rPr>
      </w:pPr>
    </w:p>
    <w:p w:rsidR="002A23CD" w:rsidRDefault="00E74D76" w:rsidP="003E4FC2">
      <w:pPr>
        <w:spacing w:after="0" w:line="240" w:lineRule="auto"/>
        <w:ind w:left="720"/>
        <w:jc w:val="both"/>
        <w:rPr>
          <w:sz w:val="24"/>
          <w:szCs w:val="24"/>
        </w:rPr>
      </w:pPr>
      <w:r w:rsidRPr="006F6242">
        <w:rPr>
          <w:b/>
          <w:sz w:val="24"/>
          <w:szCs w:val="24"/>
        </w:rPr>
        <w:t>Italy</w:t>
      </w:r>
      <w:r w:rsidR="00865274">
        <w:rPr>
          <w:sz w:val="24"/>
          <w:szCs w:val="24"/>
        </w:rPr>
        <w:t xml:space="preserve"> no longer pays for untaken leave. </w:t>
      </w:r>
    </w:p>
    <w:p w:rsidR="002A23CD" w:rsidRDefault="002A23CD" w:rsidP="003E4FC2">
      <w:pPr>
        <w:spacing w:after="0" w:line="240" w:lineRule="auto"/>
        <w:ind w:left="720"/>
        <w:jc w:val="both"/>
        <w:rPr>
          <w:sz w:val="24"/>
          <w:szCs w:val="24"/>
        </w:rPr>
      </w:pPr>
    </w:p>
    <w:p w:rsidR="00EA6F84" w:rsidRPr="001A62CB" w:rsidRDefault="002A23CD" w:rsidP="003E4FC2">
      <w:pPr>
        <w:spacing w:after="0" w:line="240" w:lineRule="auto"/>
        <w:ind w:left="720"/>
        <w:jc w:val="both"/>
        <w:rPr>
          <w:sz w:val="24"/>
          <w:szCs w:val="24"/>
        </w:rPr>
      </w:pPr>
      <w:r>
        <w:rPr>
          <w:sz w:val="24"/>
          <w:szCs w:val="24"/>
        </w:rPr>
        <w:t xml:space="preserve">The </w:t>
      </w:r>
      <w:r w:rsidRPr="00D115E0">
        <w:rPr>
          <w:sz w:val="24"/>
          <w:szCs w:val="24"/>
        </w:rPr>
        <w:t xml:space="preserve">changes reported by Member States </w:t>
      </w:r>
      <w:r w:rsidR="002E25A0">
        <w:rPr>
          <w:sz w:val="24"/>
          <w:szCs w:val="24"/>
        </w:rPr>
        <w:t xml:space="preserve">included </w:t>
      </w:r>
      <w:r>
        <w:rPr>
          <w:sz w:val="24"/>
          <w:szCs w:val="24"/>
        </w:rPr>
        <w:t>reductions in the number of holidays</w:t>
      </w:r>
      <w:r w:rsidR="002E25A0">
        <w:rPr>
          <w:sz w:val="24"/>
          <w:szCs w:val="24"/>
        </w:rPr>
        <w:t>, restrictions on</w:t>
      </w:r>
      <w:r>
        <w:rPr>
          <w:sz w:val="24"/>
          <w:szCs w:val="24"/>
        </w:rPr>
        <w:t xml:space="preserve"> holiday pay</w:t>
      </w:r>
      <w:r w:rsidR="002E25A0">
        <w:rPr>
          <w:sz w:val="24"/>
          <w:szCs w:val="24"/>
        </w:rPr>
        <w:t xml:space="preserve"> and on </w:t>
      </w:r>
      <w:r>
        <w:rPr>
          <w:sz w:val="24"/>
          <w:szCs w:val="24"/>
        </w:rPr>
        <w:t xml:space="preserve">pay in lieu of </w:t>
      </w:r>
      <w:r w:rsidR="002E25A0">
        <w:rPr>
          <w:sz w:val="24"/>
          <w:szCs w:val="24"/>
        </w:rPr>
        <w:t xml:space="preserve">untaken </w:t>
      </w:r>
      <w:r>
        <w:rPr>
          <w:sz w:val="24"/>
          <w:szCs w:val="24"/>
        </w:rPr>
        <w:t>holidays</w:t>
      </w:r>
      <w:r w:rsidRPr="00D115E0">
        <w:rPr>
          <w:sz w:val="24"/>
          <w:szCs w:val="24"/>
        </w:rPr>
        <w:t>.</w:t>
      </w:r>
      <w:r>
        <w:rPr>
          <w:b/>
          <w:sz w:val="24"/>
          <w:szCs w:val="24"/>
        </w:rPr>
        <w:t xml:space="preserve">  </w:t>
      </w:r>
    </w:p>
    <w:p w:rsidR="00EA6F84" w:rsidRPr="001A62CB" w:rsidRDefault="00EA6F84" w:rsidP="003E4FC2">
      <w:pPr>
        <w:spacing w:after="0" w:line="240" w:lineRule="auto"/>
        <w:jc w:val="both"/>
        <w:rPr>
          <w:sz w:val="24"/>
          <w:szCs w:val="24"/>
        </w:rPr>
      </w:pPr>
    </w:p>
    <w:p w:rsidR="00265DF3" w:rsidRPr="001A62CB" w:rsidRDefault="00265DF3" w:rsidP="003E4FC2">
      <w:pPr>
        <w:tabs>
          <w:tab w:val="center" w:pos="4513"/>
        </w:tabs>
        <w:spacing w:after="0" w:line="240" w:lineRule="auto"/>
        <w:ind w:left="720"/>
        <w:jc w:val="both"/>
        <w:rPr>
          <w:sz w:val="24"/>
          <w:szCs w:val="24"/>
        </w:rPr>
      </w:pPr>
    </w:p>
    <w:p w:rsidR="006B264E" w:rsidRDefault="006B264E" w:rsidP="003E4FC2">
      <w:pPr>
        <w:jc w:val="both"/>
        <w:rPr>
          <w:sz w:val="24"/>
          <w:szCs w:val="24"/>
        </w:rPr>
      </w:pPr>
      <w:r w:rsidRPr="001A62CB">
        <w:rPr>
          <w:sz w:val="24"/>
          <w:szCs w:val="24"/>
        </w:rPr>
        <w:br w:type="page"/>
      </w:r>
    </w:p>
    <w:p w:rsidR="00EC539D" w:rsidRPr="001A62CB" w:rsidRDefault="00CF7FE4" w:rsidP="00051EB0">
      <w:pPr>
        <w:jc w:val="both"/>
        <w:rPr>
          <w:b/>
          <w:sz w:val="24"/>
          <w:szCs w:val="24"/>
        </w:rPr>
      </w:pPr>
      <w:r>
        <w:rPr>
          <w:b/>
          <w:sz w:val="24"/>
          <w:szCs w:val="24"/>
        </w:rPr>
        <w:lastRenderedPageBreak/>
        <w:t>e.</w:t>
      </w:r>
      <w:r w:rsidR="00153FE5">
        <w:rPr>
          <w:b/>
          <w:sz w:val="24"/>
          <w:szCs w:val="24"/>
        </w:rPr>
        <w:tab/>
      </w:r>
      <w:r w:rsidR="00EC539D" w:rsidRPr="001A62CB">
        <w:rPr>
          <w:b/>
          <w:sz w:val="24"/>
          <w:szCs w:val="24"/>
        </w:rPr>
        <w:t>Sick Leave Entitlements</w:t>
      </w:r>
    </w:p>
    <w:p w:rsidR="00EC539D" w:rsidRPr="00C26757" w:rsidRDefault="00307E3D" w:rsidP="00C26757">
      <w:pPr>
        <w:spacing w:after="0" w:line="240" w:lineRule="auto"/>
        <w:ind w:left="720" w:firstLine="720"/>
        <w:jc w:val="both"/>
        <w:rPr>
          <w:b/>
          <w:sz w:val="20"/>
          <w:szCs w:val="20"/>
        </w:rPr>
      </w:pPr>
      <w:r w:rsidRPr="00F0167C">
        <w:rPr>
          <w:b/>
          <w:sz w:val="20"/>
          <w:szCs w:val="20"/>
        </w:rPr>
        <w:t>Figure 1.13</w:t>
      </w:r>
      <w:r w:rsidR="00153FE5" w:rsidRPr="00F0167C">
        <w:rPr>
          <w:b/>
          <w:sz w:val="20"/>
          <w:szCs w:val="20"/>
        </w:rPr>
        <w:t>:</w:t>
      </w:r>
      <w:r w:rsidR="00153FE5" w:rsidRPr="00C26757">
        <w:rPr>
          <w:sz w:val="20"/>
          <w:szCs w:val="20"/>
        </w:rPr>
        <w:t xml:space="preserve">  </w:t>
      </w:r>
      <w:r w:rsidR="00F92BCE" w:rsidRPr="00C26757">
        <w:rPr>
          <w:sz w:val="20"/>
          <w:szCs w:val="20"/>
        </w:rPr>
        <w:tab/>
      </w:r>
      <w:r w:rsidR="00873D5C" w:rsidRPr="00C26757">
        <w:rPr>
          <w:b/>
          <w:sz w:val="20"/>
          <w:szCs w:val="20"/>
        </w:rPr>
        <w:t>Sick Leave Entitlements across EUPAN Member States</w:t>
      </w:r>
      <w:r w:rsidR="00C26757">
        <w:rPr>
          <w:b/>
          <w:sz w:val="20"/>
          <w:szCs w:val="20"/>
        </w:rPr>
        <w:t xml:space="preserve"> – 2012</w:t>
      </w:r>
      <w:r w:rsidR="00AB3631" w:rsidRPr="00C26757">
        <w:rPr>
          <w:b/>
          <w:sz w:val="20"/>
          <w:szCs w:val="20"/>
        </w:rPr>
        <w:t xml:space="preserve"> vs. 2006</w:t>
      </w:r>
    </w:p>
    <w:p w:rsidR="00DE4D61" w:rsidRPr="001A62CB" w:rsidRDefault="00DE4D61" w:rsidP="003E4FC2">
      <w:pPr>
        <w:spacing w:after="0" w:line="240" w:lineRule="auto"/>
        <w:jc w:val="both"/>
        <w:rPr>
          <w:sz w:val="24"/>
          <w:szCs w:val="24"/>
        </w:rPr>
      </w:pPr>
    </w:p>
    <w:p w:rsidR="00040FC5" w:rsidRPr="001A62CB" w:rsidRDefault="00E2727A" w:rsidP="003E4FC2">
      <w:pPr>
        <w:spacing w:after="0" w:line="240" w:lineRule="auto"/>
        <w:ind w:left="709"/>
        <w:jc w:val="both"/>
        <w:rPr>
          <w:sz w:val="24"/>
          <w:szCs w:val="24"/>
        </w:rPr>
      </w:pPr>
      <w:r>
        <w:rPr>
          <w:noProof/>
          <w:sz w:val="24"/>
          <w:szCs w:val="24"/>
          <w:lang w:val="en-US"/>
        </w:rPr>
        <w:drawing>
          <wp:inline distT="0" distB="0" distL="0" distR="0" wp14:anchorId="62FA13E4" wp14:editId="2ED9F51C">
            <wp:extent cx="5000625" cy="2486025"/>
            <wp:effectExtent l="0" t="0" r="0" b="0"/>
            <wp:docPr id="13" name="Object 14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40FC5" w:rsidRPr="001A62CB" w:rsidRDefault="00153FE5" w:rsidP="003E4FC2">
      <w:pPr>
        <w:spacing w:after="0" w:line="240" w:lineRule="auto"/>
        <w:jc w:val="both"/>
        <w:rPr>
          <w:sz w:val="24"/>
          <w:szCs w:val="24"/>
        </w:rPr>
      </w:pPr>
      <w:r>
        <w:rPr>
          <w:sz w:val="24"/>
          <w:szCs w:val="24"/>
        </w:rPr>
        <w:t xml:space="preserve"> </w:t>
      </w:r>
    </w:p>
    <w:p w:rsidR="00B61EF1" w:rsidRPr="001A62CB" w:rsidRDefault="002A242E" w:rsidP="00C26757">
      <w:pPr>
        <w:spacing w:after="0" w:line="240" w:lineRule="auto"/>
        <w:ind w:left="720"/>
        <w:jc w:val="both"/>
        <w:rPr>
          <w:sz w:val="24"/>
          <w:szCs w:val="24"/>
        </w:rPr>
      </w:pPr>
      <w:r>
        <w:rPr>
          <w:sz w:val="24"/>
          <w:szCs w:val="24"/>
        </w:rPr>
        <w:t>Nineteen Member Stat</w:t>
      </w:r>
      <w:r w:rsidR="00C26757">
        <w:rPr>
          <w:sz w:val="24"/>
          <w:szCs w:val="24"/>
        </w:rPr>
        <w:t xml:space="preserve">es responded to this question. </w:t>
      </w:r>
      <w:r>
        <w:rPr>
          <w:sz w:val="24"/>
          <w:szCs w:val="24"/>
        </w:rPr>
        <w:t>Eight Member State</w:t>
      </w:r>
      <w:r w:rsidR="00D2404F">
        <w:rPr>
          <w:sz w:val="24"/>
          <w:szCs w:val="24"/>
        </w:rPr>
        <w:t>s</w:t>
      </w:r>
      <w:r>
        <w:rPr>
          <w:sz w:val="24"/>
          <w:szCs w:val="24"/>
        </w:rPr>
        <w:t xml:space="preserve"> </w:t>
      </w:r>
      <w:r w:rsidR="00323EDF" w:rsidRPr="001A62CB">
        <w:rPr>
          <w:sz w:val="24"/>
          <w:szCs w:val="24"/>
        </w:rPr>
        <w:t>(</w:t>
      </w:r>
      <w:r w:rsidR="00323EDF" w:rsidRPr="001A62CB">
        <w:rPr>
          <w:b/>
          <w:sz w:val="24"/>
          <w:szCs w:val="24"/>
        </w:rPr>
        <w:t>Estonia, France, Hungary, Ireland, Italy, Latvia, Portugal and Slovenia</w:t>
      </w:r>
      <w:r w:rsidR="00323EDF" w:rsidRPr="001A62CB">
        <w:rPr>
          <w:sz w:val="24"/>
          <w:szCs w:val="24"/>
        </w:rPr>
        <w:t xml:space="preserve">) </w:t>
      </w:r>
      <w:r w:rsidR="000808FC" w:rsidRPr="001A62CB">
        <w:rPr>
          <w:sz w:val="24"/>
          <w:szCs w:val="24"/>
        </w:rPr>
        <w:t>indicat</w:t>
      </w:r>
      <w:r w:rsidR="000139EA" w:rsidRPr="001A62CB">
        <w:rPr>
          <w:sz w:val="24"/>
          <w:szCs w:val="24"/>
        </w:rPr>
        <w:t xml:space="preserve">ed that there had been changes to sick leave entitlements since 2009.  These changes included reductions in the amount of sick pay and </w:t>
      </w:r>
      <w:r w:rsidR="00B61EF1" w:rsidRPr="001A62CB">
        <w:rPr>
          <w:sz w:val="24"/>
          <w:szCs w:val="24"/>
        </w:rPr>
        <w:t>the point at which sick pay becomes payable:</w:t>
      </w:r>
      <w:r w:rsidR="000139EA" w:rsidRPr="001A62CB">
        <w:rPr>
          <w:sz w:val="24"/>
          <w:szCs w:val="24"/>
        </w:rPr>
        <w:t xml:space="preserve">  </w:t>
      </w:r>
    </w:p>
    <w:p w:rsidR="00B61EF1" w:rsidRPr="001A62CB" w:rsidRDefault="00B61EF1" w:rsidP="003E4FC2">
      <w:pPr>
        <w:spacing w:after="0" w:line="240" w:lineRule="auto"/>
        <w:ind w:left="720"/>
        <w:jc w:val="both"/>
        <w:rPr>
          <w:sz w:val="24"/>
          <w:szCs w:val="24"/>
        </w:rPr>
      </w:pPr>
    </w:p>
    <w:p w:rsidR="00352D02" w:rsidRDefault="00352D02" w:rsidP="00873D5C">
      <w:pPr>
        <w:pStyle w:val="ListParagraph"/>
        <w:spacing w:after="0" w:line="240" w:lineRule="auto"/>
        <w:ind w:left="1440"/>
        <w:jc w:val="both"/>
        <w:rPr>
          <w:sz w:val="24"/>
          <w:szCs w:val="24"/>
        </w:rPr>
      </w:pPr>
      <w:r>
        <w:rPr>
          <w:sz w:val="24"/>
          <w:szCs w:val="24"/>
        </w:rPr>
        <w:t xml:space="preserve">In </w:t>
      </w:r>
      <w:r w:rsidRPr="006F6242">
        <w:rPr>
          <w:b/>
          <w:sz w:val="24"/>
          <w:szCs w:val="24"/>
        </w:rPr>
        <w:t>Estonia</w:t>
      </w:r>
      <w:r>
        <w:rPr>
          <w:sz w:val="24"/>
          <w:szCs w:val="24"/>
        </w:rPr>
        <w:t>, sick leave is now paid from the 4</w:t>
      </w:r>
      <w:r w:rsidRPr="00352D02">
        <w:rPr>
          <w:sz w:val="24"/>
          <w:szCs w:val="24"/>
          <w:vertAlign w:val="superscript"/>
        </w:rPr>
        <w:t>th</w:t>
      </w:r>
      <w:r>
        <w:rPr>
          <w:sz w:val="24"/>
          <w:szCs w:val="24"/>
        </w:rPr>
        <w:t xml:space="preserve"> day rather than the 2</w:t>
      </w:r>
      <w:r w:rsidRPr="00352D02">
        <w:rPr>
          <w:sz w:val="24"/>
          <w:szCs w:val="24"/>
          <w:vertAlign w:val="superscript"/>
        </w:rPr>
        <w:t>nd</w:t>
      </w:r>
      <w:r>
        <w:rPr>
          <w:sz w:val="24"/>
          <w:szCs w:val="24"/>
        </w:rPr>
        <w:t xml:space="preserve"> day and the sick pay allowance has been reduced from 80%</w:t>
      </w:r>
      <w:r w:rsidR="00153FE5">
        <w:rPr>
          <w:sz w:val="24"/>
          <w:szCs w:val="24"/>
        </w:rPr>
        <w:t xml:space="preserve"> </w:t>
      </w:r>
      <w:r w:rsidR="00873D5C">
        <w:rPr>
          <w:sz w:val="24"/>
          <w:szCs w:val="24"/>
        </w:rPr>
        <w:t>of salary</w:t>
      </w:r>
      <w:r>
        <w:rPr>
          <w:sz w:val="24"/>
          <w:szCs w:val="24"/>
        </w:rPr>
        <w:t xml:space="preserve"> to 70%</w:t>
      </w:r>
      <w:r w:rsidR="00BB00BD">
        <w:rPr>
          <w:sz w:val="24"/>
          <w:szCs w:val="24"/>
        </w:rPr>
        <w:t>.</w:t>
      </w:r>
    </w:p>
    <w:p w:rsidR="00873D5C" w:rsidRDefault="00873D5C" w:rsidP="00873D5C">
      <w:pPr>
        <w:pStyle w:val="ListParagraph"/>
        <w:spacing w:after="0" w:line="240" w:lineRule="auto"/>
        <w:ind w:left="1440"/>
        <w:jc w:val="both"/>
        <w:rPr>
          <w:sz w:val="24"/>
          <w:szCs w:val="24"/>
        </w:rPr>
      </w:pPr>
    </w:p>
    <w:p w:rsidR="00B61EF1" w:rsidRDefault="00323EDF" w:rsidP="00873D5C">
      <w:pPr>
        <w:pStyle w:val="ListParagraph"/>
        <w:spacing w:after="0" w:line="240" w:lineRule="auto"/>
        <w:ind w:left="1440"/>
        <w:jc w:val="both"/>
        <w:rPr>
          <w:sz w:val="24"/>
          <w:szCs w:val="24"/>
        </w:rPr>
      </w:pPr>
      <w:r w:rsidRPr="001A62CB">
        <w:rPr>
          <w:sz w:val="24"/>
          <w:szCs w:val="24"/>
        </w:rPr>
        <w:t xml:space="preserve">In </w:t>
      </w:r>
      <w:r w:rsidRPr="006F6242">
        <w:rPr>
          <w:b/>
          <w:sz w:val="24"/>
          <w:szCs w:val="24"/>
        </w:rPr>
        <w:t>Ireland,</w:t>
      </w:r>
      <w:r w:rsidRPr="001A62CB">
        <w:rPr>
          <w:sz w:val="24"/>
          <w:szCs w:val="24"/>
        </w:rPr>
        <w:t xml:space="preserve"> revised sick leave arrangements have effectively halved</w:t>
      </w:r>
      <w:r w:rsidR="00B61EF1" w:rsidRPr="001A62CB">
        <w:rPr>
          <w:sz w:val="24"/>
          <w:szCs w:val="24"/>
        </w:rPr>
        <w:t xml:space="preserve"> the amount of paid sick leave</w:t>
      </w:r>
      <w:r w:rsidR="00873D5C">
        <w:rPr>
          <w:sz w:val="24"/>
          <w:szCs w:val="24"/>
        </w:rPr>
        <w:t xml:space="preserve">. </w:t>
      </w:r>
      <w:r w:rsidR="006434A9">
        <w:rPr>
          <w:sz w:val="24"/>
          <w:szCs w:val="24"/>
        </w:rPr>
        <w:t xml:space="preserve">Public servants may now claim </w:t>
      </w:r>
      <w:r w:rsidR="00352D02">
        <w:rPr>
          <w:sz w:val="24"/>
          <w:szCs w:val="24"/>
        </w:rPr>
        <w:t xml:space="preserve">7 days self-certified sick leave in a period </w:t>
      </w:r>
      <w:r w:rsidR="00873D5C">
        <w:rPr>
          <w:sz w:val="24"/>
          <w:szCs w:val="24"/>
        </w:rPr>
        <w:t>of two years</w:t>
      </w:r>
      <w:r w:rsidR="00B61EF1" w:rsidRPr="001A62CB">
        <w:rPr>
          <w:sz w:val="24"/>
          <w:szCs w:val="24"/>
        </w:rPr>
        <w:t>.</w:t>
      </w:r>
      <w:r w:rsidRPr="001A62CB">
        <w:rPr>
          <w:sz w:val="24"/>
          <w:szCs w:val="24"/>
        </w:rPr>
        <w:t xml:space="preserve">  </w:t>
      </w:r>
      <w:r w:rsidR="006434A9">
        <w:rPr>
          <w:sz w:val="24"/>
          <w:szCs w:val="24"/>
        </w:rPr>
        <w:t xml:space="preserve">Previously they could claim 7 days in a single year. </w:t>
      </w:r>
    </w:p>
    <w:p w:rsidR="00873D5C" w:rsidRPr="001A62CB" w:rsidRDefault="00873D5C" w:rsidP="00873D5C">
      <w:pPr>
        <w:pStyle w:val="ListParagraph"/>
        <w:spacing w:after="0" w:line="240" w:lineRule="auto"/>
        <w:ind w:left="1440"/>
        <w:jc w:val="both"/>
        <w:rPr>
          <w:sz w:val="24"/>
          <w:szCs w:val="24"/>
        </w:rPr>
      </w:pPr>
    </w:p>
    <w:p w:rsidR="00323EDF" w:rsidRDefault="00323EDF" w:rsidP="00873D5C">
      <w:pPr>
        <w:pStyle w:val="ListParagraph"/>
        <w:spacing w:after="0" w:line="240" w:lineRule="auto"/>
        <w:ind w:left="1440"/>
        <w:jc w:val="both"/>
        <w:rPr>
          <w:sz w:val="24"/>
          <w:szCs w:val="24"/>
        </w:rPr>
      </w:pPr>
      <w:r w:rsidRPr="001A62CB">
        <w:rPr>
          <w:sz w:val="24"/>
          <w:szCs w:val="24"/>
        </w:rPr>
        <w:t xml:space="preserve">In </w:t>
      </w:r>
      <w:r w:rsidRPr="006F6242">
        <w:rPr>
          <w:b/>
          <w:sz w:val="24"/>
          <w:szCs w:val="24"/>
        </w:rPr>
        <w:t>France</w:t>
      </w:r>
      <w:r w:rsidRPr="001A62CB">
        <w:rPr>
          <w:sz w:val="24"/>
          <w:szCs w:val="24"/>
        </w:rPr>
        <w:t xml:space="preserve">, civil servants and military personnel </w:t>
      </w:r>
      <w:r w:rsidR="009E0119" w:rsidRPr="001A62CB">
        <w:rPr>
          <w:sz w:val="24"/>
          <w:szCs w:val="24"/>
        </w:rPr>
        <w:t xml:space="preserve">are </w:t>
      </w:r>
      <w:r w:rsidR="00F1779F" w:rsidRPr="001A62CB">
        <w:rPr>
          <w:sz w:val="24"/>
          <w:szCs w:val="24"/>
        </w:rPr>
        <w:t>no longer</w:t>
      </w:r>
      <w:r w:rsidR="009E0119" w:rsidRPr="001A62CB">
        <w:rPr>
          <w:sz w:val="24"/>
          <w:szCs w:val="24"/>
        </w:rPr>
        <w:t xml:space="preserve"> paid for the first day of sick leave</w:t>
      </w:r>
      <w:r w:rsidRPr="001A62CB">
        <w:rPr>
          <w:sz w:val="24"/>
          <w:szCs w:val="24"/>
        </w:rPr>
        <w:t>.</w:t>
      </w:r>
    </w:p>
    <w:p w:rsidR="00873D5C" w:rsidRDefault="00873D5C" w:rsidP="00873D5C">
      <w:pPr>
        <w:pStyle w:val="ListParagraph"/>
        <w:spacing w:after="0" w:line="240" w:lineRule="auto"/>
        <w:ind w:left="1440"/>
        <w:jc w:val="both"/>
        <w:rPr>
          <w:sz w:val="24"/>
          <w:szCs w:val="24"/>
        </w:rPr>
      </w:pPr>
    </w:p>
    <w:p w:rsidR="00352D02" w:rsidRDefault="00352D02" w:rsidP="00873D5C">
      <w:pPr>
        <w:pStyle w:val="ListParagraph"/>
        <w:spacing w:after="0" w:line="240" w:lineRule="auto"/>
        <w:ind w:left="1440"/>
        <w:jc w:val="both"/>
        <w:rPr>
          <w:sz w:val="24"/>
          <w:szCs w:val="24"/>
        </w:rPr>
      </w:pPr>
      <w:r>
        <w:rPr>
          <w:sz w:val="24"/>
          <w:szCs w:val="24"/>
        </w:rPr>
        <w:t xml:space="preserve">In </w:t>
      </w:r>
      <w:r w:rsidRPr="006F6242">
        <w:rPr>
          <w:b/>
          <w:sz w:val="24"/>
          <w:szCs w:val="24"/>
        </w:rPr>
        <w:t>Italy</w:t>
      </w:r>
      <w:r>
        <w:rPr>
          <w:sz w:val="24"/>
          <w:szCs w:val="24"/>
        </w:rPr>
        <w:t>, in order to r</w:t>
      </w:r>
      <w:r w:rsidR="00714C4B">
        <w:rPr>
          <w:sz w:val="24"/>
          <w:szCs w:val="24"/>
        </w:rPr>
        <w:t>e</w:t>
      </w:r>
      <w:r>
        <w:rPr>
          <w:sz w:val="24"/>
          <w:szCs w:val="24"/>
        </w:rPr>
        <w:t>duce absenteeism, the daily sick pay rate has been reduced</w:t>
      </w:r>
      <w:r w:rsidR="00BB00BD">
        <w:rPr>
          <w:sz w:val="24"/>
          <w:szCs w:val="24"/>
        </w:rPr>
        <w:t>.</w:t>
      </w:r>
    </w:p>
    <w:p w:rsidR="002A242E" w:rsidRDefault="002A242E" w:rsidP="00873D5C">
      <w:pPr>
        <w:pStyle w:val="ListParagraph"/>
        <w:spacing w:after="0" w:line="240" w:lineRule="auto"/>
        <w:ind w:left="1440"/>
        <w:jc w:val="both"/>
        <w:rPr>
          <w:sz w:val="24"/>
          <w:szCs w:val="24"/>
        </w:rPr>
      </w:pPr>
    </w:p>
    <w:p w:rsidR="002A242E" w:rsidRPr="001A62CB" w:rsidRDefault="002A242E" w:rsidP="00873D5C">
      <w:pPr>
        <w:pStyle w:val="ListParagraph"/>
        <w:spacing w:after="0" w:line="240" w:lineRule="auto"/>
        <w:ind w:left="1440"/>
        <w:jc w:val="both"/>
        <w:rPr>
          <w:sz w:val="24"/>
          <w:szCs w:val="24"/>
        </w:rPr>
      </w:pPr>
      <w:r>
        <w:rPr>
          <w:sz w:val="24"/>
          <w:szCs w:val="24"/>
        </w:rPr>
        <w:t xml:space="preserve">In </w:t>
      </w:r>
      <w:r>
        <w:rPr>
          <w:b/>
          <w:sz w:val="24"/>
          <w:szCs w:val="24"/>
        </w:rPr>
        <w:t xml:space="preserve">Portugal </w:t>
      </w:r>
      <w:r>
        <w:rPr>
          <w:sz w:val="24"/>
          <w:szCs w:val="24"/>
        </w:rPr>
        <w:t xml:space="preserve">there is no payment for the first 3 days of a temporary disability and only 90% of salary is paid for day 4 to day 30. </w:t>
      </w:r>
    </w:p>
    <w:p w:rsidR="00873D5C" w:rsidRDefault="00873D5C" w:rsidP="00873D5C">
      <w:pPr>
        <w:pStyle w:val="ListParagraph"/>
        <w:ind w:left="1440"/>
        <w:jc w:val="both"/>
        <w:rPr>
          <w:sz w:val="24"/>
          <w:szCs w:val="24"/>
        </w:rPr>
      </w:pPr>
    </w:p>
    <w:p w:rsidR="002A23CD" w:rsidRPr="002A23CD" w:rsidRDefault="002A23CD" w:rsidP="00873D5C">
      <w:pPr>
        <w:pStyle w:val="ListParagraph"/>
        <w:ind w:left="1440"/>
        <w:jc w:val="both"/>
        <w:rPr>
          <w:sz w:val="24"/>
          <w:szCs w:val="24"/>
        </w:rPr>
      </w:pPr>
      <w:r w:rsidRPr="002A23CD">
        <w:rPr>
          <w:sz w:val="24"/>
          <w:szCs w:val="24"/>
        </w:rPr>
        <w:t>The most common changes reported by Member States were reductions in the amount of sick pay and restrictions on when sick pay becomes payable.</w:t>
      </w:r>
      <w:r w:rsidRPr="002A23CD">
        <w:rPr>
          <w:b/>
          <w:sz w:val="24"/>
          <w:szCs w:val="24"/>
        </w:rPr>
        <w:t xml:space="preserve">  </w:t>
      </w:r>
    </w:p>
    <w:p w:rsidR="00265DF3" w:rsidRPr="001A62CB" w:rsidRDefault="002A242E" w:rsidP="002A242E">
      <w:pPr>
        <w:tabs>
          <w:tab w:val="center" w:pos="4513"/>
        </w:tabs>
        <w:spacing w:after="0" w:line="240" w:lineRule="auto"/>
        <w:ind w:left="720"/>
        <w:jc w:val="both"/>
        <w:rPr>
          <w:sz w:val="24"/>
          <w:szCs w:val="24"/>
        </w:rPr>
      </w:pPr>
      <w:r>
        <w:rPr>
          <w:sz w:val="24"/>
          <w:szCs w:val="24"/>
        </w:rPr>
        <w:br w:type="page"/>
      </w:r>
    </w:p>
    <w:p w:rsidR="00EC539D" w:rsidRPr="006F6242" w:rsidRDefault="00CF7FE4" w:rsidP="00051EB0">
      <w:pPr>
        <w:spacing w:after="0" w:line="240" w:lineRule="auto"/>
        <w:jc w:val="both"/>
        <w:rPr>
          <w:b/>
          <w:sz w:val="24"/>
          <w:szCs w:val="24"/>
        </w:rPr>
      </w:pPr>
      <w:r>
        <w:rPr>
          <w:b/>
          <w:sz w:val="24"/>
          <w:szCs w:val="24"/>
        </w:rPr>
        <w:lastRenderedPageBreak/>
        <w:t>f.</w:t>
      </w:r>
      <w:r w:rsidR="00153FE5">
        <w:rPr>
          <w:b/>
          <w:sz w:val="24"/>
          <w:szCs w:val="24"/>
        </w:rPr>
        <w:tab/>
      </w:r>
      <w:r w:rsidR="00EC539D" w:rsidRPr="006F6242">
        <w:rPr>
          <w:b/>
          <w:sz w:val="24"/>
          <w:szCs w:val="24"/>
        </w:rPr>
        <w:t>Maternity / Paternity Leave</w:t>
      </w:r>
    </w:p>
    <w:p w:rsidR="00BB00BD" w:rsidRDefault="00BB00BD" w:rsidP="003E4FC2">
      <w:pPr>
        <w:spacing w:after="0" w:line="240" w:lineRule="auto"/>
        <w:jc w:val="both"/>
        <w:rPr>
          <w:sz w:val="24"/>
          <w:szCs w:val="24"/>
        </w:rPr>
      </w:pPr>
    </w:p>
    <w:p w:rsidR="00D61245" w:rsidRPr="00C26757" w:rsidRDefault="00307E3D" w:rsidP="00C26757">
      <w:pPr>
        <w:spacing w:after="0" w:line="240" w:lineRule="auto"/>
        <w:ind w:left="720" w:firstLine="720"/>
        <w:jc w:val="both"/>
        <w:rPr>
          <w:b/>
          <w:sz w:val="20"/>
          <w:szCs w:val="20"/>
        </w:rPr>
      </w:pPr>
      <w:r w:rsidRPr="00F0167C">
        <w:rPr>
          <w:b/>
          <w:sz w:val="20"/>
          <w:szCs w:val="20"/>
        </w:rPr>
        <w:t>Figure 1.14</w:t>
      </w:r>
      <w:r w:rsidR="00BB00BD" w:rsidRPr="00F0167C">
        <w:rPr>
          <w:b/>
          <w:sz w:val="20"/>
          <w:szCs w:val="20"/>
        </w:rPr>
        <w:t>:</w:t>
      </w:r>
      <w:r w:rsidR="00BB00BD" w:rsidRPr="00C26757">
        <w:rPr>
          <w:sz w:val="20"/>
          <w:szCs w:val="20"/>
        </w:rPr>
        <w:tab/>
      </w:r>
      <w:r w:rsidR="00BB00BD" w:rsidRPr="00C26757">
        <w:rPr>
          <w:b/>
          <w:sz w:val="20"/>
          <w:szCs w:val="20"/>
        </w:rPr>
        <w:t>Maternity / Paternity Leave across EUPAN Member States</w:t>
      </w:r>
      <w:r w:rsidR="00C26757" w:rsidRPr="00C26757">
        <w:rPr>
          <w:b/>
          <w:sz w:val="20"/>
          <w:szCs w:val="20"/>
        </w:rPr>
        <w:t xml:space="preserve"> – 2012</w:t>
      </w:r>
      <w:r w:rsidR="00AB3631" w:rsidRPr="00C26757">
        <w:rPr>
          <w:b/>
          <w:sz w:val="20"/>
          <w:szCs w:val="20"/>
        </w:rPr>
        <w:t xml:space="preserve"> vs. 2006</w:t>
      </w:r>
    </w:p>
    <w:p w:rsidR="00DE4D61" w:rsidRPr="00BB00BD" w:rsidRDefault="00DE4D61" w:rsidP="003E4FC2">
      <w:pPr>
        <w:spacing w:after="0" w:line="240" w:lineRule="auto"/>
        <w:jc w:val="both"/>
        <w:rPr>
          <w:b/>
          <w:sz w:val="24"/>
          <w:szCs w:val="24"/>
        </w:rPr>
      </w:pPr>
    </w:p>
    <w:p w:rsidR="00E3174E" w:rsidRPr="001A62CB" w:rsidRDefault="00E2727A" w:rsidP="003E4FC2">
      <w:pPr>
        <w:spacing w:after="0" w:line="240" w:lineRule="auto"/>
        <w:ind w:left="709"/>
        <w:jc w:val="both"/>
        <w:rPr>
          <w:sz w:val="24"/>
          <w:szCs w:val="24"/>
        </w:rPr>
      </w:pPr>
      <w:r>
        <w:rPr>
          <w:noProof/>
          <w:sz w:val="24"/>
          <w:szCs w:val="24"/>
          <w:lang w:val="en-US"/>
        </w:rPr>
        <w:drawing>
          <wp:inline distT="0" distB="0" distL="0" distR="0" wp14:anchorId="7688103A" wp14:editId="5CE37CA0">
            <wp:extent cx="5286375" cy="2486025"/>
            <wp:effectExtent l="0" t="0" r="9525" b="9525"/>
            <wp:docPr id="14" name="Object 15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F7925" w:rsidRDefault="00BF7925" w:rsidP="009F1F7E">
      <w:pPr>
        <w:spacing w:after="0" w:line="240" w:lineRule="auto"/>
        <w:ind w:left="720"/>
        <w:jc w:val="both"/>
        <w:rPr>
          <w:sz w:val="24"/>
          <w:szCs w:val="24"/>
        </w:rPr>
      </w:pPr>
    </w:p>
    <w:p w:rsidR="00B61EF1" w:rsidRPr="001A62CB" w:rsidRDefault="0004315D" w:rsidP="009F1F7E">
      <w:pPr>
        <w:spacing w:after="0" w:line="240" w:lineRule="auto"/>
        <w:ind w:left="720"/>
        <w:jc w:val="both"/>
        <w:rPr>
          <w:sz w:val="24"/>
          <w:szCs w:val="24"/>
        </w:rPr>
      </w:pPr>
      <w:r>
        <w:rPr>
          <w:sz w:val="24"/>
          <w:szCs w:val="24"/>
        </w:rPr>
        <w:t>22</w:t>
      </w:r>
      <w:r w:rsidR="00DA2782">
        <w:rPr>
          <w:sz w:val="24"/>
          <w:szCs w:val="24"/>
        </w:rPr>
        <w:t xml:space="preserve"> Member Stat</w:t>
      </w:r>
      <w:r w:rsidR="009F1F7E">
        <w:rPr>
          <w:sz w:val="24"/>
          <w:szCs w:val="24"/>
        </w:rPr>
        <w:t xml:space="preserve">es responded to this question. </w:t>
      </w:r>
      <w:r w:rsidR="00DA2782">
        <w:rPr>
          <w:sz w:val="24"/>
          <w:szCs w:val="24"/>
        </w:rPr>
        <w:t xml:space="preserve">Eleven Member States </w:t>
      </w:r>
      <w:r w:rsidR="000808FC" w:rsidRPr="001A62CB">
        <w:rPr>
          <w:sz w:val="24"/>
          <w:szCs w:val="24"/>
        </w:rPr>
        <w:t>(</w:t>
      </w:r>
      <w:r w:rsidR="000808FC" w:rsidRPr="001A62CB">
        <w:rPr>
          <w:b/>
          <w:sz w:val="24"/>
          <w:szCs w:val="24"/>
        </w:rPr>
        <w:t xml:space="preserve">Austria, Belgium, Finland, Hungary, Italy, Latvia, </w:t>
      </w:r>
      <w:r w:rsidR="00531D1F" w:rsidRPr="001A62CB">
        <w:rPr>
          <w:b/>
          <w:sz w:val="24"/>
          <w:szCs w:val="24"/>
        </w:rPr>
        <w:t xml:space="preserve">Malta, </w:t>
      </w:r>
      <w:r w:rsidR="000808FC" w:rsidRPr="001A62CB">
        <w:rPr>
          <w:b/>
          <w:sz w:val="24"/>
          <w:szCs w:val="24"/>
        </w:rPr>
        <w:t>Poland, Portugal</w:t>
      </w:r>
      <w:r w:rsidR="00DA2782">
        <w:rPr>
          <w:b/>
          <w:sz w:val="24"/>
          <w:szCs w:val="24"/>
        </w:rPr>
        <w:t xml:space="preserve">, </w:t>
      </w:r>
      <w:r w:rsidR="000808FC" w:rsidRPr="001A62CB">
        <w:rPr>
          <w:b/>
          <w:sz w:val="24"/>
          <w:szCs w:val="24"/>
        </w:rPr>
        <w:t>Romania</w:t>
      </w:r>
      <w:r w:rsidR="00DA2782">
        <w:rPr>
          <w:b/>
          <w:sz w:val="24"/>
          <w:szCs w:val="24"/>
        </w:rPr>
        <w:t xml:space="preserve"> and Slovakia</w:t>
      </w:r>
      <w:r w:rsidR="000808FC" w:rsidRPr="001A62CB">
        <w:rPr>
          <w:sz w:val="24"/>
          <w:szCs w:val="24"/>
        </w:rPr>
        <w:t>)</w:t>
      </w:r>
      <w:r w:rsidR="00BB00BD">
        <w:rPr>
          <w:sz w:val="24"/>
          <w:szCs w:val="24"/>
        </w:rPr>
        <w:t xml:space="preserve"> </w:t>
      </w:r>
      <w:r w:rsidR="00DA2782">
        <w:rPr>
          <w:sz w:val="24"/>
          <w:szCs w:val="24"/>
        </w:rPr>
        <w:t xml:space="preserve">reported </w:t>
      </w:r>
      <w:r w:rsidR="00996721" w:rsidRPr="001A62CB">
        <w:rPr>
          <w:sz w:val="24"/>
          <w:szCs w:val="24"/>
        </w:rPr>
        <w:t xml:space="preserve">changes to maternity/paternity arrangements since 2009.  </w:t>
      </w:r>
      <w:r w:rsidR="000C2E57">
        <w:rPr>
          <w:sz w:val="24"/>
          <w:szCs w:val="24"/>
        </w:rPr>
        <w:t>T</w:t>
      </w:r>
      <w:r w:rsidR="000C2E57" w:rsidRPr="001A62CB">
        <w:rPr>
          <w:sz w:val="24"/>
          <w:szCs w:val="24"/>
        </w:rPr>
        <w:t>he majority of these changes were of a positive nature</w:t>
      </w:r>
      <w:r w:rsidR="000C2E57">
        <w:rPr>
          <w:sz w:val="24"/>
          <w:szCs w:val="24"/>
        </w:rPr>
        <w:t xml:space="preserve"> and provided enhanced benefits</w:t>
      </w:r>
      <w:r w:rsidR="003A5D86">
        <w:rPr>
          <w:sz w:val="24"/>
          <w:szCs w:val="24"/>
        </w:rPr>
        <w:t>. Ten Member States (</w:t>
      </w:r>
      <w:r w:rsidR="003A5D86">
        <w:rPr>
          <w:b/>
          <w:sz w:val="24"/>
          <w:szCs w:val="24"/>
        </w:rPr>
        <w:t>the Czech Republic, Denmark, Estonia, France, Germany</w:t>
      </w:r>
      <w:r w:rsidR="004E3E78">
        <w:rPr>
          <w:b/>
          <w:sz w:val="24"/>
          <w:szCs w:val="24"/>
        </w:rPr>
        <w:t>,</w:t>
      </w:r>
      <w:r w:rsidR="003A5D86">
        <w:rPr>
          <w:b/>
          <w:sz w:val="24"/>
          <w:szCs w:val="24"/>
        </w:rPr>
        <w:t xml:space="preserve"> Greece, Ireland, Lithuania, Sweden, and the Netherlands) </w:t>
      </w:r>
      <w:r w:rsidR="003A5D86">
        <w:rPr>
          <w:sz w:val="24"/>
          <w:szCs w:val="24"/>
        </w:rPr>
        <w:t xml:space="preserve">reported no change. </w:t>
      </w:r>
      <w:r w:rsidR="001F4FE5" w:rsidRPr="001A62CB">
        <w:rPr>
          <w:sz w:val="24"/>
          <w:szCs w:val="24"/>
        </w:rPr>
        <w:t xml:space="preserve">  </w:t>
      </w:r>
    </w:p>
    <w:p w:rsidR="00B61EF1" w:rsidRPr="001A62CB" w:rsidRDefault="00B61EF1" w:rsidP="003E4FC2">
      <w:pPr>
        <w:spacing w:after="0" w:line="240" w:lineRule="auto"/>
        <w:ind w:left="720"/>
        <w:jc w:val="both"/>
        <w:rPr>
          <w:sz w:val="24"/>
          <w:szCs w:val="24"/>
        </w:rPr>
      </w:pPr>
    </w:p>
    <w:p w:rsidR="00B61EF1" w:rsidRDefault="006166BE" w:rsidP="00BB00BD">
      <w:pPr>
        <w:pStyle w:val="ListParagraph"/>
        <w:spacing w:after="0" w:line="240" w:lineRule="auto"/>
        <w:ind w:left="1440"/>
        <w:jc w:val="both"/>
        <w:rPr>
          <w:sz w:val="24"/>
          <w:szCs w:val="24"/>
        </w:rPr>
      </w:pPr>
      <w:r w:rsidRPr="001A62CB">
        <w:rPr>
          <w:sz w:val="24"/>
          <w:szCs w:val="24"/>
        </w:rPr>
        <w:t xml:space="preserve">In </w:t>
      </w:r>
      <w:r w:rsidRPr="006F6242">
        <w:rPr>
          <w:b/>
          <w:sz w:val="24"/>
          <w:szCs w:val="24"/>
        </w:rPr>
        <w:t>Austria</w:t>
      </w:r>
      <w:r w:rsidRPr="001A62CB">
        <w:rPr>
          <w:sz w:val="24"/>
          <w:szCs w:val="24"/>
        </w:rPr>
        <w:t>, male public employees may now take up to four weeks’ unpaid paternity leave during the period of the mothe</w:t>
      </w:r>
      <w:r w:rsidR="00F520A3">
        <w:rPr>
          <w:sz w:val="24"/>
          <w:szCs w:val="24"/>
        </w:rPr>
        <w:t>r’s statutory maternity leave.</w:t>
      </w:r>
    </w:p>
    <w:p w:rsidR="00BB00BD" w:rsidRPr="001A62CB" w:rsidRDefault="00BB00BD" w:rsidP="00BB00BD">
      <w:pPr>
        <w:pStyle w:val="ListParagraph"/>
        <w:spacing w:after="0" w:line="240" w:lineRule="auto"/>
        <w:ind w:left="1440"/>
        <w:jc w:val="both"/>
        <w:rPr>
          <w:sz w:val="24"/>
          <w:szCs w:val="24"/>
        </w:rPr>
      </w:pPr>
    </w:p>
    <w:p w:rsidR="00D61245" w:rsidRDefault="00B61EF1" w:rsidP="00BB00BD">
      <w:pPr>
        <w:pStyle w:val="ListParagraph"/>
        <w:spacing w:after="0" w:line="240" w:lineRule="auto"/>
        <w:ind w:left="1440"/>
        <w:jc w:val="both"/>
        <w:rPr>
          <w:sz w:val="24"/>
          <w:szCs w:val="24"/>
        </w:rPr>
      </w:pPr>
      <w:r w:rsidRPr="001A62CB">
        <w:rPr>
          <w:sz w:val="24"/>
          <w:szCs w:val="24"/>
        </w:rPr>
        <w:t>In</w:t>
      </w:r>
      <w:r w:rsidRPr="006F6242">
        <w:rPr>
          <w:b/>
          <w:sz w:val="24"/>
          <w:szCs w:val="24"/>
        </w:rPr>
        <w:t xml:space="preserve"> </w:t>
      </w:r>
      <w:r w:rsidR="00020BA2" w:rsidRPr="006F6242">
        <w:rPr>
          <w:b/>
          <w:sz w:val="24"/>
          <w:szCs w:val="24"/>
        </w:rPr>
        <w:t>Belgium</w:t>
      </w:r>
      <w:r w:rsidR="00020BA2" w:rsidRPr="001A62CB">
        <w:rPr>
          <w:sz w:val="24"/>
          <w:szCs w:val="24"/>
        </w:rPr>
        <w:t xml:space="preserve"> </w:t>
      </w:r>
      <w:r w:rsidRPr="001A62CB">
        <w:rPr>
          <w:sz w:val="24"/>
          <w:szCs w:val="24"/>
        </w:rPr>
        <w:t>there have been a number of changes</w:t>
      </w:r>
      <w:r w:rsidR="00020BA2" w:rsidRPr="001A62CB">
        <w:rPr>
          <w:sz w:val="24"/>
          <w:szCs w:val="24"/>
        </w:rPr>
        <w:t xml:space="preserve"> including the extension of</w:t>
      </w:r>
      <w:r w:rsidR="001F4FE5" w:rsidRPr="001A62CB">
        <w:rPr>
          <w:sz w:val="24"/>
          <w:szCs w:val="24"/>
        </w:rPr>
        <w:t xml:space="preserve"> maternity/paternity leave to parents of the same sex</w:t>
      </w:r>
      <w:r w:rsidR="00020BA2" w:rsidRPr="001A62CB">
        <w:rPr>
          <w:sz w:val="24"/>
          <w:szCs w:val="24"/>
        </w:rPr>
        <w:t xml:space="preserve"> and an increase in the maxi</w:t>
      </w:r>
      <w:r w:rsidR="00B92305" w:rsidRPr="001A62CB">
        <w:rPr>
          <w:sz w:val="24"/>
          <w:szCs w:val="24"/>
        </w:rPr>
        <w:t>mum duration of maternity/paternity leave</w:t>
      </w:r>
      <w:r w:rsidR="003C6B64" w:rsidRPr="001A62CB">
        <w:rPr>
          <w:sz w:val="24"/>
          <w:szCs w:val="24"/>
        </w:rPr>
        <w:t xml:space="preserve"> </w:t>
      </w:r>
      <w:r w:rsidR="00020BA2" w:rsidRPr="001A62CB">
        <w:rPr>
          <w:sz w:val="24"/>
          <w:szCs w:val="24"/>
        </w:rPr>
        <w:t>from th</w:t>
      </w:r>
      <w:r w:rsidR="003C6B64" w:rsidRPr="001A62CB">
        <w:rPr>
          <w:sz w:val="24"/>
          <w:szCs w:val="24"/>
        </w:rPr>
        <w:t>ree to four months</w:t>
      </w:r>
      <w:r w:rsidR="00BB00BD">
        <w:rPr>
          <w:sz w:val="24"/>
          <w:szCs w:val="24"/>
        </w:rPr>
        <w:t>.</w:t>
      </w:r>
    </w:p>
    <w:p w:rsidR="00BB00BD" w:rsidRDefault="00BB00BD" w:rsidP="00BB00BD">
      <w:pPr>
        <w:pStyle w:val="ListParagraph"/>
        <w:spacing w:after="0" w:line="240" w:lineRule="auto"/>
        <w:ind w:left="1440"/>
        <w:jc w:val="both"/>
        <w:rPr>
          <w:sz w:val="24"/>
          <w:szCs w:val="24"/>
        </w:rPr>
      </w:pPr>
    </w:p>
    <w:p w:rsidR="00BB00BD" w:rsidRDefault="00F520A3" w:rsidP="00BB00BD">
      <w:pPr>
        <w:pStyle w:val="ListParagraph"/>
        <w:spacing w:after="0" w:line="240" w:lineRule="auto"/>
        <w:ind w:left="1440"/>
        <w:jc w:val="both"/>
        <w:rPr>
          <w:sz w:val="24"/>
          <w:szCs w:val="24"/>
        </w:rPr>
      </w:pPr>
      <w:r>
        <w:rPr>
          <w:sz w:val="24"/>
          <w:szCs w:val="24"/>
        </w:rPr>
        <w:t xml:space="preserve">In </w:t>
      </w:r>
      <w:r w:rsidRPr="006F6242">
        <w:rPr>
          <w:b/>
          <w:sz w:val="24"/>
          <w:szCs w:val="24"/>
        </w:rPr>
        <w:t>Finland</w:t>
      </w:r>
      <w:r>
        <w:rPr>
          <w:sz w:val="24"/>
          <w:szCs w:val="24"/>
        </w:rPr>
        <w:t xml:space="preserve">, the duration of paternity leave has been extended to 54 days and can be </w:t>
      </w:r>
      <w:r w:rsidR="00153FE5">
        <w:rPr>
          <w:sz w:val="24"/>
          <w:szCs w:val="24"/>
        </w:rPr>
        <w:t xml:space="preserve">paid in respect of </w:t>
      </w:r>
      <w:r>
        <w:rPr>
          <w:sz w:val="24"/>
          <w:szCs w:val="24"/>
        </w:rPr>
        <w:t>more than one child</w:t>
      </w:r>
      <w:r w:rsidR="00BB00BD">
        <w:rPr>
          <w:sz w:val="24"/>
          <w:szCs w:val="24"/>
        </w:rPr>
        <w:t>.</w:t>
      </w:r>
    </w:p>
    <w:p w:rsidR="00F520A3" w:rsidRDefault="00F520A3" w:rsidP="00BB00BD">
      <w:pPr>
        <w:pStyle w:val="ListParagraph"/>
        <w:spacing w:after="0" w:line="240" w:lineRule="auto"/>
        <w:ind w:left="1440"/>
        <w:jc w:val="both"/>
        <w:rPr>
          <w:sz w:val="24"/>
          <w:szCs w:val="24"/>
        </w:rPr>
      </w:pPr>
      <w:r>
        <w:rPr>
          <w:sz w:val="24"/>
          <w:szCs w:val="24"/>
        </w:rPr>
        <w:t xml:space="preserve"> </w:t>
      </w:r>
    </w:p>
    <w:p w:rsidR="00F520A3" w:rsidRDefault="00F520A3" w:rsidP="00BB00BD">
      <w:pPr>
        <w:pStyle w:val="ListParagraph"/>
        <w:spacing w:after="0" w:line="240" w:lineRule="auto"/>
        <w:ind w:left="1440"/>
        <w:jc w:val="both"/>
        <w:rPr>
          <w:sz w:val="24"/>
          <w:szCs w:val="24"/>
        </w:rPr>
      </w:pPr>
      <w:r>
        <w:rPr>
          <w:sz w:val="24"/>
          <w:szCs w:val="24"/>
        </w:rPr>
        <w:t xml:space="preserve">In </w:t>
      </w:r>
      <w:r w:rsidRPr="006F6242">
        <w:rPr>
          <w:b/>
          <w:sz w:val="24"/>
          <w:szCs w:val="24"/>
        </w:rPr>
        <w:t>Hungary</w:t>
      </w:r>
      <w:r w:rsidR="00153FE5">
        <w:rPr>
          <w:sz w:val="24"/>
          <w:szCs w:val="24"/>
        </w:rPr>
        <w:t>,</w:t>
      </w:r>
      <w:r>
        <w:rPr>
          <w:sz w:val="24"/>
          <w:szCs w:val="24"/>
        </w:rPr>
        <w:t xml:space="preserve"> extra parental leave is available up to </w:t>
      </w:r>
      <w:r w:rsidR="00BF7925">
        <w:rPr>
          <w:sz w:val="24"/>
          <w:szCs w:val="24"/>
        </w:rPr>
        <w:t xml:space="preserve">a </w:t>
      </w:r>
      <w:r>
        <w:rPr>
          <w:sz w:val="24"/>
          <w:szCs w:val="24"/>
        </w:rPr>
        <w:t xml:space="preserve">maximum of 7 working days for more than </w:t>
      </w:r>
      <w:r w:rsidR="00153FE5">
        <w:rPr>
          <w:sz w:val="24"/>
          <w:szCs w:val="24"/>
        </w:rPr>
        <w:t xml:space="preserve">two </w:t>
      </w:r>
      <w:r>
        <w:rPr>
          <w:sz w:val="24"/>
          <w:szCs w:val="24"/>
        </w:rPr>
        <w:t>children under 16 years of age</w:t>
      </w:r>
      <w:r w:rsidR="00BB00BD">
        <w:rPr>
          <w:sz w:val="24"/>
          <w:szCs w:val="24"/>
        </w:rPr>
        <w:t>.</w:t>
      </w:r>
    </w:p>
    <w:p w:rsidR="00BB00BD" w:rsidRPr="001A62CB" w:rsidRDefault="00BB00BD" w:rsidP="00BB00BD">
      <w:pPr>
        <w:pStyle w:val="ListParagraph"/>
        <w:spacing w:after="0" w:line="240" w:lineRule="auto"/>
        <w:ind w:left="1440"/>
        <w:jc w:val="both"/>
        <w:rPr>
          <w:sz w:val="24"/>
          <w:szCs w:val="24"/>
        </w:rPr>
      </w:pPr>
    </w:p>
    <w:p w:rsidR="00531D1F" w:rsidRDefault="00531D1F" w:rsidP="00BB00BD">
      <w:pPr>
        <w:pStyle w:val="ListParagraph"/>
        <w:spacing w:after="0" w:line="240" w:lineRule="auto"/>
        <w:ind w:left="1440"/>
        <w:jc w:val="both"/>
        <w:rPr>
          <w:sz w:val="24"/>
          <w:szCs w:val="24"/>
        </w:rPr>
      </w:pPr>
      <w:r w:rsidRPr="001A62CB">
        <w:rPr>
          <w:sz w:val="24"/>
          <w:szCs w:val="24"/>
        </w:rPr>
        <w:t xml:space="preserve">In </w:t>
      </w:r>
      <w:r w:rsidRPr="006F6242">
        <w:rPr>
          <w:b/>
          <w:sz w:val="24"/>
          <w:szCs w:val="24"/>
        </w:rPr>
        <w:t>Malta</w:t>
      </w:r>
      <w:r w:rsidRPr="001A62CB">
        <w:rPr>
          <w:sz w:val="24"/>
          <w:szCs w:val="24"/>
        </w:rPr>
        <w:t xml:space="preserve">, foster parents are </w:t>
      </w:r>
      <w:r w:rsidR="00F520A3">
        <w:rPr>
          <w:sz w:val="24"/>
          <w:szCs w:val="24"/>
        </w:rPr>
        <w:t>now eligible for parental leave</w:t>
      </w:r>
      <w:r w:rsidR="00BB00BD">
        <w:rPr>
          <w:sz w:val="24"/>
          <w:szCs w:val="24"/>
        </w:rPr>
        <w:t>.</w:t>
      </w:r>
    </w:p>
    <w:p w:rsidR="00BB00BD" w:rsidRDefault="00BB00BD" w:rsidP="00BB00BD">
      <w:pPr>
        <w:pStyle w:val="ListParagraph"/>
        <w:spacing w:after="0" w:line="240" w:lineRule="auto"/>
        <w:ind w:left="1440"/>
        <w:jc w:val="both"/>
        <w:rPr>
          <w:sz w:val="24"/>
          <w:szCs w:val="24"/>
        </w:rPr>
      </w:pPr>
    </w:p>
    <w:p w:rsidR="00F520A3" w:rsidRDefault="00F520A3" w:rsidP="00BB00BD">
      <w:pPr>
        <w:pStyle w:val="ListParagraph"/>
        <w:spacing w:after="0" w:line="240" w:lineRule="auto"/>
        <w:ind w:left="1440"/>
        <w:jc w:val="both"/>
        <w:rPr>
          <w:sz w:val="24"/>
          <w:szCs w:val="24"/>
        </w:rPr>
      </w:pPr>
      <w:r>
        <w:rPr>
          <w:sz w:val="24"/>
          <w:szCs w:val="24"/>
        </w:rPr>
        <w:t xml:space="preserve">In </w:t>
      </w:r>
      <w:r w:rsidRPr="006F6242">
        <w:rPr>
          <w:b/>
          <w:sz w:val="24"/>
          <w:szCs w:val="24"/>
        </w:rPr>
        <w:t>Poland</w:t>
      </w:r>
      <w:r>
        <w:rPr>
          <w:sz w:val="24"/>
          <w:szCs w:val="24"/>
        </w:rPr>
        <w:t xml:space="preserve">, since 2012 there are </w:t>
      </w:r>
      <w:r w:rsidR="00153FE5">
        <w:rPr>
          <w:sz w:val="24"/>
          <w:szCs w:val="24"/>
        </w:rPr>
        <w:t xml:space="preserve">two </w:t>
      </w:r>
      <w:r>
        <w:rPr>
          <w:sz w:val="24"/>
          <w:szCs w:val="24"/>
        </w:rPr>
        <w:t>options for maternity leave – 6 months at 100% of salary or 12 months at 80%</w:t>
      </w:r>
      <w:r w:rsidR="00BB00BD">
        <w:rPr>
          <w:sz w:val="24"/>
          <w:szCs w:val="24"/>
        </w:rPr>
        <w:t>.</w:t>
      </w:r>
    </w:p>
    <w:p w:rsidR="000D4255" w:rsidRPr="001A62CB" w:rsidRDefault="000D4255" w:rsidP="003E4FC2">
      <w:pPr>
        <w:spacing w:after="0" w:line="240" w:lineRule="auto"/>
        <w:ind w:left="720"/>
        <w:jc w:val="both"/>
        <w:rPr>
          <w:sz w:val="24"/>
          <w:szCs w:val="24"/>
        </w:rPr>
      </w:pPr>
    </w:p>
    <w:p w:rsidR="006B264E" w:rsidRDefault="006B264E" w:rsidP="003E4FC2">
      <w:pPr>
        <w:jc w:val="both"/>
        <w:rPr>
          <w:sz w:val="24"/>
          <w:szCs w:val="24"/>
        </w:rPr>
      </w:pPr>
      <w:r w:rsidRPr="001A62CB">
        <w:rPr>
          <w:sz w:val="24"/>
          <w:szCs w:val="24"/>
        </w:rPr>
        <w:br w:type="page"/>
      </w:r>
    </w:p>
    <w:p w:rsidR="001B642F" w:rsidRPr="00051EB0" w:rsidRDefault="00CF7FE4" w:rsidP="00051EB0">
      <w:pPr>
        <w:spacing w:after="0" w:line="240" w:lineRule="auto"/>
        <w:jc w:val="both"/>
        <w:rPr>
          <w:b/>
          <w:sz w:val="24"/>
          <w:szCs w:val="24"/>
        </w:rPr>
      </w:pPr>
      <w:r w:rsidRPr="00051EB0">
        <w:rPr>
          <w:b/>
          <w:sz w:val="24"/>
          <w:szCs w:val="24"/>
        </w:rPr>
        <w:lastRenderedPageBreak/>
        <w:t>g.</w:t>
      </w:r>
      <w:r w:rsidR="00904900" w:rsidRPr="00051EB0">
        <w:rPr>
          <w:b/>
          <w:sz w:val="24"/>
          <w:szCs w:val="24"/>
        </w:rPr>
        <w:tab/>
      </w:r>
      <w:r w:rsidR="001B642F" w:rsidRPr="00051EB0">
        <w:rPr>
          <w:b/>
          <w:sz w:val="24"/>
          <w:szCs w:val="24"/>
        </w:rPr>
        <w:t>Family Friendly Policies</w:t>
      </w:r>
    </w:p>
    <w:p w:rsidR="004C1927" w:rsidRDefault="004C1927" w:rsidP="003E4FC2">
      <w:pPr>
        <w:spacing w:after="0" w:line="240" w:lineRule="auto"/>
        <w:jc w:val="both"/>
        <w:rPr>
          <w:sz w:val="24"/>
          <w:szCs w:val="24"/>
        </w:rPr>
      </w:pPr>
    </w:p>
    <w:p w:rsidR="001B642F" w:rsidRPr="009F1F7E" w:rsidRDefault="00904900" w:rsidP="009F1F7E">
      <w:pPr>
        <w:spacing w:after="0" w:line="240" w:lineRule="auto"/>
        <w:ind w:left="720" w:firstLine="720"/>
        <w:jc w:val="both"/>
        <w:rPr>
          <w:b/>
          <w:sz w:val="20"/>
          <w:szCs w:val="20"/>
        </w:rPr>
      </w:pPr>
      <w:r w:rsidRPr="00F0167C">
        <w:rPr>
          <w:b/>
          <w:sz w:val="20"/>
          <w:szCs w:val="20"/>
        </w:rPr>
        <w:t>Figure 1.1</w:t>
      </w:r>
      <w:r w:rsidR="00307E3D" w:rsidRPr="00F0167C">
        <w:rPr>
          <w:b/>
          <w:sz w:val="20"/>
          <w:szCs w:val="20"/>
        </w:rPr>
        <w:t>5</w:t>
      </w:r>
      <w:r w:rsidRPr="00F0167C">
        <w:rPr>
          <w:b/>
          <w:sz w:val="20"/>
          <w:szCs w:val="20"/>
        </w:rPr>
        <w:t>:</w:t>
      </w:r>
      <w:r w:rsidRPr="009F1F7E">
        <w:rPr>
          <w:sz w:val="20"/>
          <w:szCs w:val="20"/>
        </w:rPr>
        <w:t xml:space="preserve"> </w:t>
      </w:r>
      <w:r w:rsidR="004C1927" w:rsidRPr="009F1F7E">
        <w:rPr>
          <w:sz w:val="20"/>
          <w:szCs w:val="20"/>
        </w:rPr>
        <w:tab/>
      </w:r>
      <w:r w:rsidR="004C1927" w:rsidRPr="009F1F7E">
        <w:rPr>
          <w:b/>
          <w:sz w:val="20"/>
          <w:szCs w:val="20"/>
        </w:rPr>
        <w:t>Family Friendly Policies across EUPAN Member States</w:t>
      </w:r>
      <w:r w:rsidR="009F1F7E" w:rsidRPr="009F1F7E">
        <w:rPr>
          <w:b/>
          <w:sz w:val="20"/>
          <w:szCs w:val="20"/>
        </w:rPr>
        <w:t xml:space="preserve"> – 2012</w:t>
      </w:r>
      <w:r w:rsidR="00AB3631" w:rsidRPr="009F1F7E">
        <w:rPr>
          <w:b/>
          <w:sz w:val="20"/>
          <w:szCs w:val="20"/>
        </w:rPr>
        <w:t xml:space="preserve"> vs. 2006</w:t>
      </w:r>
    </w:p>
    <w:p w:rsidR="00DE4D61" w:rsidRPr="004C1927" w:rsidRDefault="00DE4D61" w:rsidP="003E4FC2">
      <w:pPr>
        <w:spacing w:after="0" w:line="240" w:lineRule="auto"/>
        <w:jc w:val="both"/>
        <w:rPr>
          <w:b/>
          <w:sz w:val="24"/>
          <w:szCs w:val="24"/>
        </w:rPr>
      </w:pPr>
    </w:p>
    <w:p w:rsidR="00140F47" w:rsidRDefault="00E2727A" w:rsidP="003E4FC2">
      <w:pPr>
        <w:spacing w:after="0" w:line="240" w:lineRule="auto"/>
        <w:ind w:left="709"/>
        <w:jc w:val="both"/>
        <w:rPr>
          <w:sz w:val="24"/>
          <w:szCs w:val="24"/>
        </w:rPr>
      </w:pPr>
      <w:r>
        <w:rPr>
          <w:noProof/>
          <w:sz w:val="24"/>
          <w:szCs w:val="24"/>
          <w:lang w:val="en-US"/>
        </w:rPr>
        <w:drawing>
          <wp:inline distT="0" distB="0" distL="0" distR="0" wp14:anchorId="6566824F" wp14:editId="28A1EB84">
            <wp:extent cx="5276850" cy="2505075"/>
            <wp:effectExtent l="0" t="0" r="19050" b="9525"/>
            <wp:docPr id="15" name="Objec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E4D61" w:rsidRPr="001A62CB" w:rsidRDefault="00DE4D61" w:rsidP="003E4FC2">
      <w:pPr>
        <w:spacing w:after="0" w:line="240" w:lineRule="auto"/>
        <w:ind w:left="709"/>
        <w:jc w:val="both"/>
        <w:rPr>
          <w:sz w:val="24"/>
          <w:szCs w:val="24"/>
        </w:rPr>
      </w:pPr>
    </w:p>
    <w:p w:rsidR="00B61EF1" w:rsidRPr="001A62CB" w:rsidRDefault="001E5FE4" w:rsidP="009F1F7E">
      <w:pPr>
        <w:spacing w:after="0" w:line="240" w:lineRule="auto"/>
        <w:ind w:left="720"/>
        <w:jc w:val="both"/>
        <w:rPr>
          <w:sz w:val="24"/>
          <w:szCs w:val="24"/>
        </w:rPr>
      </w:pPr>
      <w:r>
        <w:rPr>
          <w:sz w:val="24"/>
          <w:szCs w:val="24"/>
        </w:rPr>
        <w:t>Twenty One Member Stat</w:t>
      </w:r>
      <w:r w:rsidR="009F1F7E">
        <w:rPr>
          <w:sz w:val="24"/>
          <w:szCs w:val="24"/>
        </w:rPr>
        <w:t xml:space="preserve">es responded to this question. </w:t>
      </w:r>
      <w:r>
        <w:rPr>
          <w:sz w:val="24"/>
          <w:szCs w:val="24"/>
        </w:rPr>
        <w:t xml:space="preserve">Twelve Member States </w:t>
      </w:r>
      <w:r w:rsidR="00B92305" w:rsidRPr="001A62CB">
        <w:rPr>
          <w:sz w:val="24"/>
          <w:szCs w:val="24"/>
        </w:rPr>
        <w:t>(</w:t>
      </w:r>
      <w:r w:rsidR="00B92305" w:rsidRPr="001A62CB">
        <w:rPr>
          <w:b/>
          <w:sz w:val="24"/>
          <w:szCs w:val="24"/>
        </w:rPr>
        <w:t xml:space="preserve">Austria, Belgium, Estonia, France, Hungary, Ireland, Italy, Latvia, </w:t>
      </w:r>
      <w:r w:rsidR="002848C3" w:rsidRPr="001A62CB">
        <w:rPr>
          <w:b/>
          <w:sz w:val="24"/>
          <w:szCs w:val="24"/>
        </w:rPr>
        <w:t xml:space="preserve">Malta, </w:t>
      </w:r>
      <w:r w:rsidR="00B92305" w:rsidRPr="001A62CB">
        <w:rPr>
          <w:b/>
          <w:sz w:val="24"/>
          <w:szCs w:val="24"/>
        </w:rPr>
        <w:t>Poland</w:t>
      </w:r>
      <w:r>
        <w:rPr>
          <w:b/>
          <w:sz w:val="24"/>
          <w:szCs w:val="24"/>
        </w:rPr>
        <w:t>, Slovakia</w:t>
      </w:r>
      <w:r w:rsidR="00B92305" w:rsidRPr="001A62CB">
        <w:rPr>
          <w:b/>
          <w:sz w:val="24"/>
          <w:szCs w:val="24"/>
        </w:rPr>
        <w:t xml:space="preserve"> and Slovenia</w:t>
      </w:r>
      <w:r w:rsidR="004C1927" w:rsidRPr="004C1927">
        <w:rPr>
          <w:sz w:val="24"/>
          <w:szCs w:val="24"/>
        </w:rPr>
        <w:t>)</w:t>
      </w:r>
      <w:r w:rsidR="00904900">
        <w:rPr>
          <w:b/>
          <w:sz w:val="24"/>
          <w:szCs w:val="24"/>
        </w:rPr>
        <w:t xml:space="preserve"> </w:t>
      </w:r>
      <w:r w:rsidR="00726957" w:rsidRPr="001A62CB">
        <w:rPr>
          <w:sz w:val="24"/>
          <w:szCs w:val="24"/>
        </w:rPr>
        <w:t>indicated that there had been</w:t>
      </w:r>
      <w:r>
        <w:rPr>
          <w:sz w:val="24"/>
          <w:szCs w:val="24"/>
        </w:rPr>
        <w:t xml:space="preserve"> </w:t>
      </w:r>
      <w:r w:rsidR="00726957" w:rsidRPr="001A62CB">
        <w:rPr>
          <w:sz w:val="24"/>
          <w:szCs w:val="24"/>
        </w:rPr>
        <w:t>changes to family friendly policies since 2009</w:t>
      </w:r>
      <w:r w:rsidR="00B92305" w:rsidRPr="001A62CB">
        <w:rPr>
          <w:sz w:val="24"/>
          <w:szCs w:val="24"/>
        </w:rPr>
        <w:t xml:space="preserve">. </w:t>
      </w:r>
      <w:r w:rsidR="004E3E78">
        <w:rPr>
          <w:sz w:val="24"/>
          <w:szCs w:val="24"/>
        </w:rPr>
        <w:t>T</w:t>
      </w:r>
      <w:r w:rsidR="00726957" w:rsidRPr="001A62CB">
        <w:rPr>
          <w:sz w:val="24"/>
          <w:szCs w:val="24"/>
        </w:rPr>
        <w:t xml:space="preserve">he majority of these changes were </w:t>
      </w:r>
      <w:r w:rsidR="00B61EF1" w:rsidRPr="001A62CB">
        <w:rPr>
          <w:sz w:val="24"/>
          <w:szCs w:val="24"/>
        </w:rPr>
        <w:t xml:space="preserve">positive </w:t>
      </w:r>
      <w:r w:rsidR="000C2E57">
        <w:rPr>
          <w:sz w:val="24"/>
          <w:szCs w:val="24"/>
        </w:rPr>
        <w:t>and provided enhanced benefits</w:t>
      </w:r>
      <w:r w:rsidR="004E3E78">
        <w:rPr>
          <w:sz w:val="24"/>
          <w:szCs w:val="24"/>
        </w:rPr>
        <w:t>.</w:t>
      </w:r>
      <w:r w:rsidR="00726957" w:rsidRPr="001A62CB">
        <w:rPr>
          <w:sz w:val="24"/>
          <w:szCs w:val="24"/>
        </w:rPr>
        <w:t xml:space="preserve">  </w:t>
      </w:r>
    </w:p>
    <w:p w:rsidR="00B61EF1" w:rsidRPr="001A62CB" w:rsidRDefault="00B61EF1" w:rsidP="003E4FC2">
      <w:pPr>
        <w:spacing w:after="0" w:line="240" w:lineRule="auto"/>
        <w:ind w:left="720"/>
        <w:jc w:val="both"/>
        <w:rPr>
          <w:sz w:val="24"/>
          <w:szCs w:val="24"/>
        </w:rPr>
      </w:pPr>
    </w:p>
    <w:p w:rsidR="00B61EF1" w:rsidRDefault="00B61EF1" w:rsidP="004C1927">
      <w:pPr>
        <w:pStyle w:val="ListParagraph"/>
        <w:spacing w:after="0" w:line="240" w:lineRule="auto"/>
        <w:ind w:left="1440"/>
        <w:jc w:val="both"/>
        <w:rPr>
          <w:sz w:val="24"/>
          <w:szCs w:val="24"/>
        </w:rPr>
      </w:pPr>
      <w:r w:rsidRPr="001A62CB">
        <w:rPr>
          <w:sz w:val="24"/>
          <w:szCs w:val="24"/>
        </w:rPr>
        <w:t>In</w:t>
      </w:r>
      <w:r w:rsidRPr="006F6242">
        <w:rPr>
          <w:b/>
          <w:sz w:val="24"/>
          <w:szCs w:val="24"/>
        </w:rPr>
        <w:t xml:space="preserve"> France</w:t>
      </w:r>
      <w:r w:rsidRPr="001A62CB">
        <w:rPr>
          <w:sz w:val="24"/>
          <w:szCs w:val="24"/>
        </w:rPr>
        <w:t>, flexible working measures such as teleworking have been introduced.</w:t>
      </w:r>
    </w:p>
    <w:p w:rsidR="004C1927" w:rsidRPr="001A62CB" w:rsidRDefault="004C1927" w:rsidP="004C1927">
      <w:pPr>
        <w:pStyle w:val="ListParagraph"/>
        <w:spacing w:after="0" w:line="240" w:lineRule="auto"/>
        <w:ind w:left="1440"/>
        <w:jc w:val="both"/>
        <w:rPr>
          <w:sz w:val="24"/>
          <w:szCs w:val="24"/>
        </w:rPr>
      </w:pPr>
    </w:p>
    <w:p w:rsidR="00B61EF1" w:rsidRDefault="00B61EF1" w:rsidP="004C1927">
      <w:pPr>
        <w:pStyle w:val="ListParagraph"/>
        <w:spacing w:after="0" w:line="240" w:lineRule="auto"/>
        <w:ind w:left="1440"/>
        <w:jc w:val="both"/>
        <w:rPr>
          <w:sz w:val="24"/>
          <w:szCs w:val="24"/>
        </w:rPr>
      </w:pPr>
      <w:r w:rsidRPr="001A62CB">
        <w:rPr>
          <w:sz w:val="24"/>
          <w:szCs w:val="24"/>
        </w:rPr>
        <w:t xml:space="preserve">Since 2011, civil servants in </w:t>
      </w:r>
      <w:r w:rsidRPr="006F6242">
        <w:rPr>
          <w:b/>
          <w:sz w:val="24"/>
          <w:szCs w:val="24"/>
        </w:rPr>
        <w:t>Greece</w:t>
      </w:r>
      <w:r w:rsidRPr="001A62CB">
        <w:rPr>
          <w:sz w:val="24"/>
          <w:szCs w:val="24"/>
        </w:rPr>
        <w:t xml:space="preserve"> may take unpaid leave for a period of five years.</w:t>
      </w:r>
    </w:p>
    <w:p w:rsidR="004C1927" w:rsidRPr="001A62CB" w:rsidRDefault="004C1927" w:rsidP="004C1927">
      <w:pPr>
        <w:pStyle w:val="ListParagraph"/>
        <w:spacing w:after="0" w:line="240" w:lineRule="auto"/>
        <w:ind w:left="1440"/>
        <w:jc w:val="both"/>
        <w:rPr>
          <w:sz w:val="24"/>
          <w:szCs w:val="24"/>
        </w:rPr>
      </w:pPr>
    </w:p>
    <w:p w:rsidR="004C1927" w:rsidRDefault="00B92305" w:rsidP="004C1927">
      <w:pPr>
        <w:pStyle w:val="ListParagraph"/>
        <w:spacing w:after="0" w:line="240" w:lineRule="auto"/>
        <w:ind w:left="1440"/>
        <w:jc w:val="both"/>
        <w:rPr>
          <w:sz w:val="24"/>
          <w:szCs w:val="24"/>
        </w:rPr>
      </w:pPr>
      <w:r w:rsidRPr="001A62CB">
        <w:rPr>
          <w:sz w:val="24"/>
          <w:szCs w:val="24"/>
        </w:rPr>
        <w:t xml:space="preserve">In </w:t>
      </w:r>
      <w:r w:rsidR="008C6CD7" w:rsidRPr="006F6242">
        <w:rPr>
          <w:b/>
          <w:sz w:val="24"/>
          <w:szCs w:val="24"/>
        </w:rPr>
        <w:t>Ireland</w:t>
      </w:r>
      <w:r w:rsidR="008C6CD7" w:rsidRPr="001A62CB">
        <w:rPr>
          <w:sz w:val="24"/>
          <w:szCs w:val="24"/>
        </w:rPr>
        <w:t xml:space="preserve">, </w:t>
      </w:r>
      <w:r w:rsidR="007A6B38" w:rsidRPr="001A62CB">
        <w:rPr>
          <w:sz w:val="24"/>
          <w:szCs w:val="24"/>
        </w:rPr>
        <w:t>there have been a number of changes in relation to Force Majeure Leave, Paid Family Illness Leave, Bereavement Leave, the Career Break Scheme, Parental Leave, the Shorter Working Year Scheme and Unpaid Leave for Domestic Reasons</w:t>
      </w:r>
      <w:r w:rsidR="008C6CD7" w:rsidRPr="001A62CB">
        <w:rPr>
          <w:sz w:val="24"/>
          <w:szCs w:val="24"/>
        </w:rPr>
        <w:t xml:space="preserve">. </w:t>
      </w:r>
    </w:p>
    <w:p w:rsidR="00B61EF1" w:rsidRPr="001A62CB" w:rsidRDefault="008C6CD7" w:rsidP="004C1927">
      <w:pPr>
        <w:pStyle w:val="ListParagraph"/>
        <w:spacing w:after="0" w:line="240" w:lineRule="auto"/>
        <w:ind w:left="1440"/>
        <w:jc w:val="both"/>
        <w:rPr>
          <w:sz w:val="24"/>
          <w:szCs w:val="24"/>
        </w:rPr>
      </w:pPr>
      <w:r w:rsidRPr="001A62CB">
        <w:rPr>
          <w:sz w:val="24"/>
          <w:szCs w:val="24"/>
        </w:rPr>
        <w:t xml:space="preserve"> </w:t>
      </w:r>
    </w:p>
    <w:p w:rsidR="001B642F" w:rsidRDefault="007A6B38" w:rsidP="004C1927">
      <w:pPr>
        <w:pStyle w:val="ListParagraph"/>
        <w:spacing w:after="0" w:line="240" w:lineRule="auto"/>
        <w:ind w:left="1440"/>
        <w:jc w:val="both"/>
        <w:rPr>
          <w:sz w:val="24"/>
          <w:szCs w:val="24"/>
        </w:rPr>
      </w:pPr>
      <w:r w:rsidRPr="001A62CB">
        <w:rPr>
          <w:sz w:val="24"/>
          <w:szCs w:val="24"/>
        </w:rPr>
        <w:t>In</w:t>
      </w:r>
      <w:r w:rsidRPr="006F6242">
        <w:rPr>
          <w:b/>
          <w:sz w:val="24"/>
          <w:szCs w:val="24"/>
        </w:rPr>
        <w:t xml:space="preserve"> Italy</w:t>
      </w:r>
      <w:r w:rsidRPr="001A62CB">
        <w:rPr>
          <w:sz w:val="24"/>
          <w:szCs w:val="24"/>
        </w:rPr>
        <w:t xml:space="preserve">, special leave for the care of people with severe disabilities has been extended.  </w:t>
      </w:r>
      <w:r w:rsidR="008C6CD7" w:rsidRPr="001A62CB">
        <w:rPr>
          <w:sz w:val="24"/>
          <w:szCs w:val="24"/>
        </w:rPr>
        <w:t xml:space="preserve">  </w:t>
      </w:r>
    </w:p>
    <w:p w:rsidR="004C1927" w:rsidRPr="001A62CB" w:rsidRDefault="004C1927" w:rsidP="004C1927">
      <w:pPr>
        <w:pStyle w:val="ListParagraph"/>
        <w:spacing w:after="0" w:line="240" w:lineRule="auto"/>
        <w:ind w:left="1440"/>
        <w:jc w:val="both"/>
        <w:rPr>
          <w:sz w:val="24"/>
          <w:szCs w:val="24"/>
        </w:rPr>
      </w:pPr>
    </w:p>
    <w:p w:rsidR="003414BB" w:rsidRPr="001A62CB" w:rsidRDefault="003414BB" w:rsidP="004C1927">
      <w:pPr>
        <w:pStyle w:val="ListParagraph"/>
        <w:spacing w:after="0" w:line="240" w:lineRule="auto"/>
        <w:ind w:left="1440"/>
        <w:jc w:val="both"/>
        <w:rPr>
          <w:sz w:val="24"/>
          <w:szCs w:val="24"/>
        </w:rPr>
      </w:pPr>
      <w:r w:rsidRPr="001A62CB">
        <w:rPr>
          <w:sz w:val="24"/>
          <w:szCs w:val="24"/>
        </w:rPr>
        <w:t xml:space="preserve">In </w:t>
      </w:r>
      <w:r w:rsidRPr="006F6242">
        <w:rPr>
          <w:b/>
          <w:sz w:val="24"/>
          <w:szCs w:val="24"/>
        </w:rPr>
        <w:t>Malta</w:t>
      </w:r>
      <w:r w:rsidRPr="001A62CB">
        <w:rPr>
          <w:sz w:val="24"/>
          <w:szCs w:val="24"/>
        </w:rPr>
        <w:t>, public employees now have the right to work reduced hours to care for a child of up to 16 years (previously, the limit was 12 years).</w:t>
      </w:r>
      <w:r w:rsidR="000C2E57">
        <w:rPr>
          <w:sz w:val="24"/>
          <w:szCs w:val="24"/>
        </w:rPr>
        <w:t xml:space="preserve"> Adoptive leave </w:t>
      </w:r>
      <w:r w:rsidR="00904900">
        <w:rPr>
          <w:sz w:val="24"/>
          <w:szCs w:val="24"/>
        </w:rPr>
        <w:t xml:space="preserve">is now treated </w:t>
      </w:r>
      <w:r w:rsidR="000C2E57">
        <w:rPr>
          <w:sz w:val="24"/>
          <w:szCs w:val="24"/>
        </w:rPr>
        <w:t>the same as maternity leave.</w:t>
      </w:r>
    </w:p>
    <w:p w:rsidR="001B642F" w:rsidRPr="001A62CB" w:rsidRDefault="001B642F" w:rsidP="003E4FC2">
      <w:pPr>
        <w:spacing w:after="0" w:line="240" w:lineRule="auto"/>
        <w:jc w:val="both"/>
        <w:rPr>
          <w:sz w:val="24"/>
          <w:szCs w:val="24"/>
        </w:rPr>
      </w:pPr>
    </w:p>
    <w:p w:rsidR="006B264E" w:rsidRDefault="006B264E" w:rsidP="003E4FC2">
      <w:pPr>
        <w:jc w:val="both"/>
        <w:rPr>
          <w:sz w:val="24"/>
          <w:szCs w:val="24"/>
        </w:rPr>
      </w:pPr>
      <w:r w:rsidRPr="001A62CB">
        <w:rPr>
          <w:sz w:val="24"/>
          <w:szCs w:val="24"/>
        </w:rPr>
        <w:br w:type="page"/>
      </w:r>
    </w:p>
    <w:p w:rsidR="001B642F" w:rsidRPr="006F6242" w:rsidRDefault="00CF7FE4" w:rsidP="00051EB0">
      <w:pPr>
        <w:spacing w:after="0" w:line="240" w:lineRule="auto"/>
        <w:jc w:val="both"/>
        <w:rPr>
          <w:b/>
          <w:sz w:val="24"/>
          <w:szCs w:val="24"/>
        </w:rPr>
      </w:pPr>
      <w:r>
        <w:rPr>
          <w:b/>
          <w:sz w:val="24"/>
          <w:szCs w:val="24"/>
        </w:rPr>
        <w:lastRenderedPageBreak/>
        <w:t>h.</w:t>
      </w:r>
      <w:r w:rsidR="00904900">
        <w:rPr>
          <w:b/>
          <w:sz w:val="24"/>
          <w:szCs w:val="24"/>
        </w:rPr>
        <w:tab/>
      </w:r>
      <w:r w:rsidR="001B642F" w:rsidRPr="006F6242">
        <w:rPr>
          <w:b/>
          <w:sz w:val="24"/>
          <w:szCs w:val="24"/>
        </w:rPr>
        <w:t>Methods of Recruitment and Selection to the Civil Service</w:t>
      </w:r>
    </w:p>
    <w:p w:rsidR="004C1927" w:rsidRDefault="004C1927" w:rsidP="003E4FC2">
      <w:pPr>
        <w:spacing w:after="0" w:line="240" w:lineRule="auto"/>
        <w:jc w:val="both"/>
        <w:rPr>
          <w:sz w:val="24"/>
          <w:szCs w:val="24"/>
        </w:rPr>
      </w:pPr>
    </w:p>
    <w:p w:rsidR="001B642F" w:rsidRDefault="00307E3D" w:rsidP="009F1F7E">
      <w:pPr>
        <w:spacing w:after="0" w:line="240" w:lineRule="auto"/>
        <w:ind w:left="2880" w:hanging="1440"/>
        <w:jc w:val="both"/>
        <w:rPr>
          <w:b/>
          <w:sz w:val="20"/>
          <w:szCs w:val="20"/>
        </w:rPr>
      </w:pPr>
      <w:r w:rsidRPr="00F0167C">
        <w:rPr>
          <w:b/>
          <w:sz w:val="20"/>
          <w:szCs w:val="20"/>
        </w:rPr>
        <w:t>Figure 1.16</w:t>
      </w:r>
      <w:r w:rsidR="00904900" w:rsidRPr="00F0167C">
        <w:rPr>
          <w:b/>
          <w:sz w:val="20"/>
          <w:szCs w:val="20"/>
        </w:rPr>
        <w:t>:</w:t>
      </w:r>
      <w:r w:rsidR="00904900" w:rsidRPr="009F1F7E">
        <w:rPr>
          <w:sz w:val="20"/>
          <w:szCs w:val="20"/>
        </w:rPr>
        <w:t xml:space="preserve"> </w:t>
      </w:r>
      <w:r w:rsidR="004C1927" w:rsidRPr="009F1F7E">
        <w:rPr>
          <w:sz w:val="20"/>
          <w:szCs w:val="20"/>
        </w:rPr>
        <w:tab/>
      </w:r>
      <w:r w:rsidR="004C1927" w:rsidRPr="009F1F7E">
        <w:rPr>
          <w:b/>
          <w:sz w:val="20"/>
          <w:szCs w:val="20"/>
        </w:rPr>
        <w:t>Methods of Recruitment and Selection to the Civil Service across EUPAN Member States</w:t>
      </w:r>
      <w:r w:rsidR="009F1F7E">
        <w:rPr>
          <w:b/>
          <w:sz w:val="20"/>
          <w:szCs w:val="20"/>
        </w:rPr>
        <w:t xml:space="preserve"> – 2012</w:t>
      </w:r>
      <w:r w:rsidR="00AB3631" w:rsidRPr="009F1F7E">
        <w:rPr>
          <w:b/>
          <w:sz w:val="20"/>
          <w:szCs w:val="20"/>
        </w:rPr>
        <w:t xml:space="preserve"> vs. 2006</w:t>
      </w:r>
    </w:p>
    <w:p w:rsidR="00E26AFF" w:rsidRPr="009F1F7E" w:rsidRDefault="00E26AFF" w:rsidP="009F1F7E">
      <w:pPr>
        <w:spacing w:after="0" w:line="240" w:lineRule="auto"/>
        <w:ind w:left="2880" w:hanging="1440"/>
        <w:jc w:val="both"/>
        <w:rPr>
          <w:b/>
          <w:sz w:val="20"/>
          <w:szCs w:val="20"/>
        </w:rPr>
      </w:pPr>
    </w:p>
    <w:p w:rsidR="008A6DAC" w:rsidRPr="001A62CB" w:rsidRDefault="00E2727A" w:rsidP="003E4FC2">
      <w:pPr>
        <w:spacing w:after="0" w:line="240" w:lineRule="auto"/>
        <w:ind w:left="709"/>
        <w:jc w:val="both"/>
        <w:rPr>
          <w:sz w:val="24"/>
          <w:szCs w:val="24"/>
        </w:rPr>
      </w:pPr>
      <w:r>
        <w:rPr>
          <w:noProof/>
          <w:sz w:val="24"/>
          <w:szCs w:val="24"/>
          <w:lang w:val="en-US"/>
        </w:rPr>
        <w:drawing>
          <wp:inline distT="0" distB="0" distL="0" distR="0" wp14:anchorId="346216D6" wp14:editId="3212E40A">
            <wp:extent cx="5191125" cy="2533650"/>
            <wp:effectExtent l="0" t="0" r="9525" b="19050"/>
            <wp:docPr id="16"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A6DAC" w:rsidRPr="001A62CB" w:rsidRDefault="008A6DAC" w:rsidP="003E4FC2">
      <w:pPr>
        <w:spacing w:after="0" w:line="240" w:lineRule="auto"/>
        <w:jc w:val="both"/>
        <w:rPr>
          <w:sz w:val="24"/>
          <w:szCs w:val="24"/>
        </w:rPr>
      </w:pPr>
    </w:p>
    <w:p w:rsidR="007F48D2" w:rsidRDefault="007F48D2" w:rsidP="007F48D2">
      <w:pPr>
        <w:spacing w:after="0" w:line="240" w:lineRule="auto"/>
        <w:ind w:left="720"/>
        <w:jc w:val="both"/>
        <w:rPr>
          <w:sz w:val="24"/>
          <w:szCs w:val="24"/>
        </w:rPr>
      </w:pPr>
      <w:r>
        <w:rPr>
          <w:sz w:val="24"/>
          <w:szCs w:val="24"/>
        </w:rPr>
        <w:t>Nineteen</w:t>
      </w:r>
      <w:r w:rsidR="009F1F7E">
        <w:rPr>
          <w:sz w:val="24"/>
          <w:szCs w:val="24"/>
        </w:rPr>
        <w:t xml:space="preserve"> Member States responded to this question. </w:t>
      </w:r>
      <w:r w:rsidR="00655457">
        <w:rPr>
          <w:sz w:val="24"/>
          <w:szCs w:val="24"/>
        </w:rPr>
        <w:t xml:space="preserve"> </w:t>
      </w:r>
      <w:r>
        <w:rPr>
          <w:sz w:val="24"/>
          <w:szCs w:val="24"/>
        </w:rPr>
        <w:t>Seventeen</w:t>
      </w:r>
      <w:r w:rsidR="00770402">
        <w:rPr>
          <w:sz w:val="24"/>
          <w:szCs w:val="24"/>
        </w:rPr>
        <w:t xml:space="preserve"> </w:t>
      </w:r>
      <w:r w:rsidR="00355804" w:rsidRPr="001A62CB">
        <w:rPr>
          <w:sz w:val="24"/>
          <w:szCs w:val="24"/>
        </w:rPr>
        <w:t>Member States</w:t>
      </w:r>
      <w:r w:rsidR="004E3E78">
        <w:rPr>
          <w:sz w:val="24"/>
          <w:szCs w:val="24"/>
        </w:rPr>
        <w:t xml:space="preserve"> </w:t>
      </w:r>
      <w:r w:rsidR="00E41A2F" w:rsidRPr="001A62CB">
        <w:rPr>
          <w:sz w:val="24"/>
          <w:szCs w:val="24"/>
        </w:rPr>
        <w:t>(</w:t>
      </w:r>
      <w:r w:rsidR="00E41A2F" w:rsidRPr="001A62CB">
        <w:rPr>
          <w:b/>
          <w:sz w:val="24"/>
          <w:szCs w:val="24"/>
        </w:rPr>
        <w:t xml:space="preserve">Belgium, </w:t>
      </w:r>
      <w:r w:rsidR="005A5163">
        <w:rPr>
          <w:b/>
          <w:sz w:val="24"/>
          <w:szCs w:val="24"/>
        </w:rPr>
        <w:t xml:space="preserve">Bulgaria, </w:t>
      </w:r>
      <w:r w:rsidR="00E41A2F" w:rsidRPr="001A62CB">
        <w:rPr>
          <w:b/>
          <w:sz w:val="24"/>
          <w:szCs w:val="24"/>
        </w:rPr>
        <w:t>Estonia,</w:t>
      </w:r>
      <w:r w:rsidR="00D011FA">
        <w:rPr>
          <w:b/>
          <w:sz w:val="24"/>
          <w:szCs w:val="24"/>
        </w:rPr>
        <w:t xml:space="preserve"> </w:t>
      </w:r>
      <w:r w:rsidR="005A5163">
        <w:rPr>
          <w:b/>
          <w:sz w:val="24"/>
          <w:szCs w:val="24"/>
        </w:rPr>
        <w:t xml:space="preserve">Finland, France, </w:t>
      </w:r>
      <w:r w:rsidR="00D011FA">
        <w:rPr>
          <w:b/>
          <w:sz w:val="24"/>
          <w:szCs w:val="24"/>
        </w:rPr>
        <w:t>Ger</w:t>
      </w:r>
      <w:r w:rsidR="00E41A2F" w:rsidRPr="001A62CB">
        <w:rPr>
          <w:b/>
          <w:sz w:val="24"/>
          <w:szCs w:val="24"/>
        </w:rPr>
        <w:t xml:space="preserve">many, </w:t>
      </w:r>
      <w:r w:rsidR="00D011FA">
        <w:rPr>
          <w:b/>
          <w:sz w:val="24"/>
          <w:szCs w:val="24"/>
        </w:rPr>
        <w:t>Ireland</w:t>
      </w:r>
      <w:r w:rsidR="00E41A2F" w:rsidRPr="001A62CB">
        <w:rPr>
          <w:b/>
          <w:sz w:val="24"/>
          <w:szCs w:val="24"/>
        </w:rPr>
        <w:t xml:space="preserve">, </w:t>
      </w:r>
      <w:r w:rsidR="00073D04">
        <w:rPr>
          <w:b/>
          <w:sz w:val="24"/>
          <w:szCs w:val="24"/>
        </w:rPr>
        <w:t xml:space="preserve">Latvia, </w:t>
      </w:r>
      <w:r w:rsidR="00E41A2F" w:rsidRPr="001A62CB">
        <w:rPr>
          <w:b/>
          <w:sz w:val="24"/>
          <w:szCs w:val="24"/>
        </w:rPr>
        <w:t xml:space="preserve">Lithuania, </w:t>
      </w:r>
      <w:r w:rsidR="00073D04">
        <w:rPr>
          <w:b/>
          <w:sz w:val="24"/>
          <w:szCs w:val="24"/>
        </w:rPr>
        <w:t xml:space="preserve">Luxembourg, </w:t>
      </w:r>
      <w:r w:rsidR="00836914" w:rsidRPr="001A62CB">
        <w:rPr>
          <w:b/>
          <w:sz w:val="24"/>
          <w:szCs w:val="24"/>
        </w:rPr>
        <w:t xml:space="preserve">Malta, </w:t>
      </w:r>
      <w:r w:rsidR="00E41A2F" w:rsidRPr="001A62CB">
        <w:rPr>
          <w:b/>
          <w:sz w:val="24"/>
          <w:szCs w:val="24"/>
        </w:rPr>
        <w:t>Poland,</w:t>
      </w:r>
      <w:r w:rsidR="00770402">
        <w:rPr>
          <w:b/>
          <w:sz w:val="24"/>
          <w:szCs w:val="24"/>
        </w:rPr>
        <w:t xml:space="preserve"> </w:t>
      </w:r>
      <w:r w:rsidR="00011DD2">
        <w:rPr>
          <w:b/>
          <w:sz w:val="24"/>
          <w:szCs w:val="24"/>
        </w:rPr>
        <w:t xml:space="preserve">Portugal, Romania, </w:t>
      </w:r>
      <w:r w:rsidR="00E41A2F" w:rsidRPr="001A62CB">
        <w:rPr>
          <w:b/>
          <w:sz w:val="24"/>
          <w:szCs w:val="24"/>
        </w:rPr>
        <w:t>Slovakia</w:t>
      </w:r>
      <w:r w:rsidR="00073D04">
        <w:rPr>
          <w:b/>
          <w:sz w:val="24"/>
          <w:szCs w:val="24"/>
        </w:rPr>
        <w:t>, Slovenia and the UK</w:t>
      </w:r>
      <w:r w:rsidR="00E41A2F" w:rsidRPr="001A62CB">
        <w:rPr>
          <w:sz w:val="24"/>
          <w:szCs w:val="24"/>
        </w:rPr>
        <w:t xml:space="preserve">) </w:t>
      </w:r>
      <w:r w:rsidR="00355804" w:rsidRPr="001A62CB">
        <w:rPr>
          <w:sz w:val="24"/>
          <w:szCs w:val="24"/>
        </w:rPr>
        <w:t>reported changes to the methods of recruitment and</w:t>
      </w:r>
      <w:r w:rsidR="00CB5D34">
        <w:rPr>
          <w:sz w:val="24"/>
          <w:szCs w:val="24"/>
        </w:rPr>
        <w:t xml:space="preserve"> selection to the Civil S</w:t>
      </w:r>
      <w:r w:rsidR="0004086A" w:rsidRPr="001A62CB">
        <w:rPr>
          <w:sz w:val="24"/>
          <w:szCs w:val="24"/>
        </w:rPr>
        <w:t>ervice</w:t>
      </w:r>
      <w:r w:rsidR="005A5163">
        <w:rPr>
          <w:sz w:val="24"/>
          <w:szCs w:val="24"/>
        </w:rPr>
        <w:t>.</w:t>
      </w:r>
      <w:r>
        <w:rPr>
          <w:sz w:val="24"/>
          <w:szCs w:val="24"/>
        </w:rPr>
        <w:t xml:space="preserve">  </w:t>
      </w:r>
    </w:p>
    <w:p w:rsidR="007F48D2" w:rsidRDefault="007F48D2" w:rsidP="007F48D2">
      <w:pPr>
        <w:spacing w:after="0" w:line="240" w:lineRule="auto"/>
        <w:ind w:left="720"/>
        <w:jc w:val="both"/>
        <w:rPr>
          <w:sz w:val="24"/>
          <w:szCs w:val="24"/>
        </w:rPr>
      </w:pPr>
      <w:r>
        <w:rPr>
          <w:sz w:val="24"/>
          <w:szCs w:val="24"/>
        </w:rPr>
        <w:t>Two Member States (</w:t>
      </w:r>
      <w:r w:rsidRPr="00011DD2">
        <w:rPr>
          <w:b/>
          <w:sz w:val="24"/>
          <w:szCs w:val="24"/>
        </w:rPr>
        <w:t>Denmark and Norway</w:t>
      </w:r>
      <w:r>
        <w:rPr>
          <w:sz w:val="24"/>
          <w:szCs w:val="24"/>
        </w:rPr>
        <w:t>) reported no major changes.</w:t>
      </w:r>
    </w:p>
    <w:p w:rsidR="00B921B2" w:rsidRDefault="00B921B2" w:rsidP="003E4FC2">
      <w:pPr>
        <w:spacing w:after="0" w:line="240" w:lineRule="auto"/>
        <w:ind w:left="720"/>
        <w:jc w:val="both"/>
        <w:rPr>
          <w:sz w:val="24"/>
          <w:szCs w:val="24"/>
        </w:rPr>
      </w:pPr>
    </w:p>
    <w:p w:rsidR="00FD4D71" w:rsidRPr="00980EE6" w:rsidRDefault="0004086A" w:rsidP="004C1927">
      <w:pPr>
        <w:pStyle w:val="ListParagraph"/>
        <w:spacing w:after="0" w:line="240" w:lineRule="auto"/>
        <w:ind w:left="1440"/>
        <w:jc w:val="both"/>
        <w:rPr>
          <w:rFonts w:cs="Calibri"/>
          <w:sz w:val="24"/>
          <w:szCs w:val="24"/>
          <w:lang w:val="en-GB"/>
        </w:rPr>
      </w:pPr>
      <w:r w:rsidRPr="001A62CB">
        <w:rPr>
          <w:sz w:val="24"/>
          <w:szCs w:val="24"/>
        </w:rPr>
        <w:t>Some Member States reported measures to improve the recruitmen</w:t>
      </w:r>
      <w:r w:rsidR="00CB5D34">
        <w:rPr>
          <w:sz w:val="24"/>
          <w:szCs w:val="24"/>
        </w:rPr>
        <w:t>t/selection procedures for the Civil S</w:t>
      </w:r>
      <w:r w:rsidRPr="001A62CB">
        <w:rPr>
          <w:sz w:val="24"/>
          <w:szCs w:val="24"/>
        </w:rPr>
        <w:t>ervice.  In</w:t>
      </w:r>
      <w:r w:rsidRPr="006F6242">
        <w:rPr>
          <w:b/>
          <w:sz w:val="24"/>
          <w:szCs w:val="24"/>
        </w:rPr>
        <w:t xml:space="preserve"> Belgium</w:t>
      </w:r>
      <w:r w:rsidRPr="001A62CB">
        <w:rPr>
          <w:sz w:val="24"/>
          <w:szCs w:val="24"/>
        </w:rPr>
        <w:t xml:space="preserve">, for example, </w:t>
      </w:r>
      <w:r w:rsidR="004C1927">
        <w:rPr>
          <w:sz w:val="24"/>
          <w:szCs w:val="24"/>
        </w:rPr>
        <w:t xml:space="preserve">the </w:t>
      </w:r>
      <w:r w:rsidR="004C1927" w:rsidRPr="00980EE6">
        <w:rPr>
          <w:rFonts w:cs="Calibri"/>
          <w:sz w:val="24"/>
          <w:szCs w:val="24"/>
          <w:lang w:val="en-GB"/>
        </w:rPr>
        <w:t>recruitment timeline</w:t>
      </w:r>
      <w:r w:rsidR="00BC0D8D" w:rsidRPr="00980EE6">
        <w:rPr>
          <w:rFonts w:cs="Calibri"/>
          <w:sz w:val="24"/>
          <w:szCs w:val="24"/>
          <w:lang w:val="en-GB"/>
        </w:rPr>
        <w:t xml:space="preserve"> </w:t>
      </w:r>
      <w:r w:rsidRPr="00980EE6">
        <w:rPr>
          <w:rFonts w:cs="Calibri"/>
          <w:sz w:val="24"/>
          <w:szCs w:val="24"/>
          <w:lang w:val="en-GB"/>
        </w:rPr>
        <w:t>ha</w:t>
      </w:r>
      <w:r w:rsidR="00BC0D8D" w:rsidRPr="00980EE6">
        <w:rPr>
          <w:rFonts w:cs="Calibri"/>
          <w:sz w:val="24"/>
          <w:szCs w:val="24"/>
          <w:lang w:val="en-GB"/>
        </w:rPr>
        <w:t>s</w:t>
      </w:r>
      <w:r w:rsidRPr="00980EE6">
        <w:rPr>
          <w:rFonts w:cs="Calibri"/>
          <w:sz w:val="24"/>
          <w:szCs w:val="24"/>
          <w:lang w:val="en-GB"/>
        </w:rPr>
        <w:t xml:space="preserve"> been accelerated.  The three types of procedures (internal to the department, inter-federal mobility and external) are now</w:t>
      </w:r>
      <w:r w:rsidR="001E5FE4">
        <w:rPr>
          <w:rFonts w:cs="Calibri"/>
          <w:sz w:val="24"/>
          <w:szCs w:val="24"/>
          <w:lang w:val="en-GB"/>
        </w:rPr>
        <w:t xml:space="preserve"> run simultaneously and not consecutively</w:t>
      </w:r>
      <w:r w:rsidRPr="00980EE6">
        <w:rPr>
          <w:rFonts w:cs="Calibri"/>
          <w:sz w:val="24"/>
          <w:szCs w:val="24"/>
          <w:lang w:val="en-GB"/>
        </w:rPr>
        <w:t xml:space="preserve"> as before, with a single comparative ranking of the ca</w:t>
      </w:r>
      <w:r w:rsidR="005968D5" w:rsidRPr="00980EE6">
        <w:rPr>
          <w:rFonts w:cs="Calibri"/>
          <w:sz w:val="24"/>
          <w:szCs w:val="24"/>
          <w:lang w:val="en-GB"/>
        </w:rPr>
        <w:t>ndidates counting for all three.</w:t>
      </w:r>
      <w:r w:rsidR="00FD4D71" w:rsidRPr="00980EE6">
        <w:rPr>
          <w:rFonts w:cs="Calibri"/>
          <w:sz w:val="24"/>
          <w:szCs w:val="24"/>
          <w:lang w:val="en-GB"/>
        </w:rPr>
        <w:t xml:space="preserve"> </w:t>
      </w:r>
    </w:p>
    <w:p w:rsidR="004C1927" w:rsidRDefault="004C1927" w:rsidP="004C1927">
      <w:pPr>
        <w:pStyle w:val="ListParagraph"/>
        <w:spacing w:after="0" w:line="240" w:lineRule="auto"/>
        <w:ind w:left="1440"/>
        <w:jc w:val="both"/>
        <w:rPr>
          <w:rFonts w:cs="Calibri"/>
          <w:b/>
          <w:sz w:val="24"/>
          <w:szCs w:val="24"/>
          <w:lang w:val="en-GB"/>
        </w:rPr>
      </w:pPr>
    </w:p>
    <w:p w:rsidR="0004086A" w:rsidRPr="00980EE6" w:rsidRDefault="00FD4D71" w:rsidP="004C1927">
      <w:pPr>
        <w:pStyle w:val="ListParagraph"/>
        <w:spacing w:after="0" w:line="240" w:lineRule="auto"/>
        <w:ind w:left="1440"/>
        <w:jc w:val="both"/>
        <w:rPr>
          <w:rFonts w:cs="Calibri"/>
          <w:sz w:val="24"/>
          <w:szCs w:val="24"/>
          <w:lang w:val="en-GB"/>
        </w:rPr>
      </w:pPr>
      <w:r w:rsidRPr="00980EE6">
        <w:rPr>
          <w:rFonts w:cs="Calibri"/>
          <w:b/>
          <w:sz w:val="24"/>
          <w:szCs w:val="24"/>
          <w:lang w:val="en-GB"/>
        </w:rPr>
        <w:t>Estonia</w:t>
      </w:r>
      <w:r w:rsidRPr="00980EE6">
        <w:rPr>
          <w:rFonts w:cs="Calibri"/>
          <w:sz w:val="24"/>
          <w:szCs w:val="24"/>
          <w:lang w:val="en-GB"/>
        </w:rPr>
        <w:t xml:space="preserve"> introduced a new Public </w:t>
      </w:r>
      <w:r w:rsidR="00BC0D8D" w:rsidRPr="00980EE6">
        <w:rPr>
          <w:rFonts w:cs="Calibri"/>
          <w:sz w:val="24"/>
          <w:szCs w:val="24"/>
          <w:lang w:val="en-GB"/>
        </w:rPr>
        <w:t>S</w:t>
      </w:r>
      <w:r w:rsidRPr="00980EE6">
        <w:rPr>
          <w:rFonts w:cs="Calibri"/>
          <w:sz w:val="24"/>
          <w:szCs w:val="24"/>
          <w:lang w:val="en-GB"/>
        </w:rPr>
        <w:t xml:space="preserve">ervice Act with a requirement for open competition, increased transparency in recruitment, a guarantee of equal public access and a new public service recruitment </w:t>
      </w:r>
      <w:r w:rsidR="004C1927" w:rsidRPr="00980EE6">
        <w:rPr>
          <w:rFonts w:cs="Calibri"/>
          <w:sz w:val="24"/>
          <w:szCs w:val="24"/>
          <w:lang w:val="en-GB"/>
        </w:rPr>
        <w:t>portal.</w:t>
      </w:r>
    </w:p>
    <w:p w:rsidR="004C1927" w:rsidRDefault="004C1927" w:rsidP="004C1927">
      <w:pPr>
        <w:pStyle w:val="ListParagraph"/>
        <w:spacing w:after="0" w:line="240" w:lineRule="auto"/>
        <w:ind w:left="1440"/>
        <w:jc w:val="both"/>
        <w:rPr>
          <w:rFonts w:cs="Calibri"/>
          <w:sz w:val="24"/>
          <w:szCs w:val="24"/>
          <w:lang w:val="en-GB"/>
        </w:rPr>
      </w:pPr>
    </w:p>
    <w:p w:rsidR="005968D5" w:rsidRPr="00980EE6" w:rsidRDefault="005968D5" w:rsidP="004C1927">
      <w:pPr>
        <w:pStyle w:val="ListParagraph"/>
        <w:spacing w:after="0" w:line="240" w:lineRule="auto"/>
        <w:ind w:left="1440"/>
        <w:jc w:val="both"/>
        <w:rPr>
          <w:rFonts w:cs="Calibri"/>
          <w:sz w:val="24"/>
          <w:szCs w:val="24"/>
          <w:lang w:val="en-GB"/>
        </w:rPr>
      </w:pPr>
      <w:r w:rsidRPr="00980EE6">
        <w:rPr>
          <w:rFonts w:cs="Calibri"/>
          <w:sz w:val="24"/>
          <w:szCs w:val="24"/>
          <w:lang w:val="en-GB"/>
        </w:rPr>
        <w:t xml:space="preserve">Increased use of open recruitment is reported by </w:t>
      </w:r>
      <w:r w:rsidRPr="00980EE6">
        <w:rPr>
          <w:rFonts w:cs="Calibri"/>
          <w:b/>
          <w:sz w:val="24"/>
          <w:szCs w:val="24"/>
          <w:lang w:val="en-GB"/>
        </w:rPr>
        <w:t>Estonia, Germany, Ireland,</w:t>
      </w:r>
      <w:r w:rsidRPr="00980EE6">
        <w:rPr>
          <w:rFonts w:cs="Calibri"/>
          <w:sz w:val="24"/>
          <w:szCs w:val="24"/>
          <w:lang w:val="en-GB"/>
        </w:rPr>
        <w:t xml:space="preserve"> </w:t>
      </w:r>
      <w:r w:rsidRPr="00980EE6">
        <w:rPr>
          <w:rFonts w:cs="Calibri"/>
          <w:b/>
          <w:sz w:val="24"/>
          <w:szCs w:val="24"/>
          <w:lang w:val="en-GB"/>
        </w:rPr>
        <w:t>Poland, Slovakia</w:t>
      </w:r>
      <w:r w:rsidRPr="00980EE6">
        <w:rPr>
          <w:rFonts w:cs="Calibri"/>
          <w:sz w:val="24"/>
          <w:szCs w:val="24"/>
          <w:lang w:val="en-GB"/>
        </w:rPr>
        <w:t xml:space="preserve">, and the </w:t>
      </w:r>
      <w:r w:rsidRPr="00980EE6">
        <w:rPr>
          <w:rFonts w:cs="Calibri"/>
          <w:b/>
          <w:sz w:val="24"/>
          <w:szCs w:val="24"/>
          <w:lang w:val="en-GB"/>
        </w:rPr>
        <w:t>UK</w:t>
      </w:r>
      <w:r w:rsidR="00BC0D8D" w:rsidRPr="00980EE6">
        <w:rPr>
          <w:rFonts w:cs="Calibri"/>
          <w:b/>
          <w:sz w:val="24"/>
          <w:szCs w:val="24"/>
          <w:lang w:val="en-GB"/>
        </w:rPr>
        <w:t>.</w:t>
      </w:r>
      <w:r w:rsidRPr="00980EE6">
        <w:rPr>
          <w:rFonts w:cs="Calibri"/>
          <w:b/>
          <w:sz w:val="24"/>
          <w:szCs w:val="24"/>
          <w:lang w:val="en-GB"/>
        </w:rPr>
        <w:t xml:space="preserve"> </w:t>
      </w:r>
    </w:p>
    <w:p w:rsidR="004C1927" w:rsidRDefault="004C1927" w:rsidP="004C1927">
      <w:pPr>
        <w:pStyle w:val="ListParagraph"/>
        <w:spacing w:after="0" w:line="240" w:lineRule="auto"/>
        <w:ind w:left="1440"/>
        <w:jc w:val="both"/>
        <w:rPr>
          <w:rFonts w:cs="Calibri"/>
          <w:sz w:val="24"/>
          <w:szCs w:val="24"/>
          <w:lang w:val="en-GB"/>
        </w:rPr>
      </w:pPr>
    </w:p>
    <w:p w:rsidR="009F4653" w:rsidRDefault="00BC5E9B" w:rsidP="00111A22">
      <w:pPr>
        <w:pStyle w:val="ListParagraph"/>
        <w:spacing w:after="0" w:line="240" w:lineRule="auto"/>
        <w:ind w:left="1440"/>
        <w:jc w:val="both"/>
        <w:rPr>
          <w:rFonts w:cs="Calibri"/>
          <w:sz w:val="24"/>
          <w:szCs w:val="24"/>
          <w:lang w:val="en-GB"/>
        </w:rPr>
      </w:pPr>
      <w:r w:rsidRPr="00980EE6">
        <w:rPr>
          <w:rFonts w:cs="Calibri"/>
          <w:sz w:val="24"/>
          <w:szCs w:val="24"/>
          <w:lang w:val="en-GB"/>
        </w:rPr>
        <w:t xml:space="preserve">In </w:t>
      </w:r>
      <w:r w:rsidRPr="00980EE6">
        <w:rPr>
          <w:rFonts w:cs="Calibri"/>
          <w:b/>
          <w:sz w:val="24"/>
          <w:szCs w:val="24"/>
          <w:lang w:val="en-GB"/>
        </w:rPr>
        <w:t>Malta</w:t>
      </w:r>
      <w:r w:rsidRPr="00980EE6">
        <w:rPr>
          <w:rFonts w:cs="Calibri"/>
          <w:sz w:val="24"/>
          <w:szCs w:val="24"/>
          <w:lang w:val="en-GB"/>
        </w:rPr>
        <w:t xml:space="preserve">, there </w:t>
      </w:r>
      <w:r w:rsidR="00E26B9D" w:rsidRPr="00980EE6">
        <w:rPr>
          <w:rFonts w:cs="Calibri"/>
          <w:sz w:val="24"/>
          <w:szCs w:val="24"/>
          <w:lang w:val="en-GB"/>
        </w:rPr>
        <w:t>has been</w:t>
      </w:r>
      <w:r w:rsidRPr="00980EE6">
        <w:rPr>
          <w:rFonts w:cs="Calibri"/>
          <w:sz w:val="24"/>
          <w:szCs w:val="24"/>
          <w:lang w:val="en-GB"/>
        </w:rPr>
        <w:t xml:space="preserve"> an increase in the use of ope</w:t>
      </w:r>
      <w:r w:rsidR="003C1D92">
        <w:rPr>
          <w:rFonts w:cs="Calibri"/>
          <w:sz w:val="24"/>
          <w:szCs w:val="24"/>
          <w:lang w:val="en-GB"/>
        </w:rPr>
        <w:t xml:space="preserve">n recruitment at Ministry </w:t>
      </w:r>
      <w:r w:rsidR="005968D5" w:rsidRPr="00980EE6">
        <w:rPr>
          <w:rFonts w:cs="Calibri"/>
          <w:sz w:val="24"/>
          <w:szCs w:val="24"/>
          <w:lang w:val="en-GB"/>
        </w:rPr>
        <w:t>level</w:t>
      </w:r>
      <w:r w:rsidR="004C1927">
        <w:rPr>
          <w:rFonts w:cs="Calibri"/>
          <w:sz w:val="24"/>
          <w:szCs w:val="24"/>
          <w:lang w:val="en-GB"/>
        </w:rPr>
        <w:t>.</w:t>
      </w:r>
    </w:p>
    <w:p w:rsidR="009F4653" w:rsidRDefault="009F4653" w:rsidP="009F4653">
      <w:pPr>
        <w:spacing w:after="0" w:line="240" w:lineRule="auto"/>
        <w:jc w:val="both"/>
        <w:rPr>
          <w:rFonts w:cs="Calibri"/>
          <w:sz w:val="24"/>
          <w:szCs w:val="24"/>
          <w:lang w:val="en-GB"/>
        </w:rPr>
      </w:pPr>
    </w:p>
    <w:p w:rsidR="00111A22" w:rsidRPr="009F4653" w:rsidRDefault="009F4653" w:rsidP="009F4653">
      <w:pPr>
        <w:spacing w:after="0" w:line="240" w:lineRule="auto"/>
        <w:ind w:left="720"/>
        <w:jc w:val="both"/>
        <w:rPr>
          <w:sz w:val="24"/>
          <w:szCs w:val="24"/>
        </w:rPr>
      </w:pPr>
      <w:r>
        <w:rPr>
          <w:sz w:val="24"/>
          <w:szCs w:val="24"/>
        </w:rPr>
        <w:t>Three Member States (</w:t>
      </w:r>
      <w:r w:rsidRPr="007F48D2">
        <w:rPr>
          <w:b/>
          <w:sz w:val="24"/>
          <w:szCs w:val="24"/>
        </w:rPr>
        <w:t>Ireland, Slovenia and the UK</w:t>
      </w:r>
      <w:r>
        <w:rPr>
          <w:sz w:val="24"/>
          <w:szCs w:val="24"/>
        </w:rPr>
        <w:t>) also reported a full or partial recruitment freeze in addition to changes to the methods of recruitment and selection to the Civil Service.  A further five Member States (</w:t>
      </w:r>
      <w:r w:rsidRPr="00B921B2">
        <w:rPr>
          <w:b/>
          <w:sz w:val="24"/>
          <w:szCs w:val="24"/>
        </w:rPr>
        <w:t>Austria</w:t>
      </w:r>
      <w:r>
        <w:rPr>
          <w:sz w:val="24"/>
          <w:szCs w:val="24"/>
        </w:rPr>
        <w:t xml:space="preserve">, </w:t>
      </w:r>
      <w:r w:rsidRPr="00073D04">
        <w:rPr>
          <w:b/>
          <w:sz w:val="24"/>
          <w:szCs w:val="24"/>
        </w:rPr>
        <w:t>Cyprus,</w:t>
      </w:r>
      <w:r>
        <w:rPr>
          <w:b/>
          <w:sz w:val="24"/>
          <w:szCs w:val="24"/>
        </w:rPr>
        <w:t xml:space="preserve"> the Czech Republic, Greece,</w:t>
      </w:r>
      <w:r w:rsidRPr="00073D04">
        <w:rPr>
          <w:b/>
          <w:sz w:val="24"/>
          <w:szCs w:val="24"/>
        </w:rPr>
        <w:t xml:space="preserve"> </w:t>
      </w:r>
      <w:r>
        <w:rPr>
          <w:b/>
          <w:sz w:val="24"/>
          <w:szCs w:val="24"/>
        </w:rPr>
        <w:t>and Italy</w:t>
      </w:r>
      <w:r>
        <w:rPr>
          <w:sz w:val="24"/>
          <w:szCs w:val="24"/>
        </w:rPr>
        <w:t>) reported a full or partial recruitment freeze alone.  (Recruitment freezes have not been interpreted as changes to the methods of recruitment and selection to the Civil Service.  As a result, these figures are not represented in Figure 1.16).</w:t>
      </w:r>
      <w:r w:rsidR="00111A22" w:rsidRPr="009F4653">
        <w:rPr>
          <w:rFonts w:cs="Calibri"/>
          <w:sz w:val="24"/>
          <w:szCs w:val="24"/>
          <w:lang w:val="en-GB"/>
        </w:rPr>
        <w:br w:type="page"/>
      </w:r>
    </w:p>
    <w:p w:rsidR="004C1927" w:rsidRPr="00111A22" w:rsidRDefault="004C1927" w:rsidP="00111A22">
      <w:pPr>
        <w:pStyle w:val="ListParagraph"/>
        <w:spacing w:after="0" w:line="240" w:lineRule="auto"/>
        <w:ind w:left="1440"/>
        <w:jc w:val="both"/>
        <w:rPr>
          <w:rFonts w:cs="Calibri"/>
          <w:sz w:val="24"/>
          <w:szCs w:val="24"/>
          <w:lang w:val="en-GB"/>
        </w:rPr>
      </w:pPr>
    </w:p>
    <w:p w:rsidR="004C1927" w:rsidRDefault="00CF7FE4" w:rsidP="00DE4D61">
      <w:pPr>
        <w:jc w:val="both"/>
        <w:rPr>
          <w:b/>
          <w:sz w:val="24"/>
          <w:szCs w:val="24"/>
        </w:rPr>
      </w:pPr>
      <w:proofErr w:type="spellStart"/>
      <w:r>
        <w:rPr>
          <w:b/>
          <w:sz w:val="24"/>
          <w:szCs w:val="24"/>
        </w:rPr>
        <w:t>i</w:t>
      </w:r>
      <w:proofErr w:type="spellEnd"/>
      <w:r>
        <w:rPr>
          <w:b/>
          <w:sz w:val="24"/>
          <w:szCs w:val="24"/>
        </w:rPr>
        <w:t>.</w:t>
      </w:r>
      <w:r w:rsidR="00BC0D8D">
        <w:rPr>
          <w:b/>
          <w:sz w:val="24"/>
          <w:szCs w:val="24"/>
        </w:rPr>
        <w:tab/>
      </w:r>
      <w:r w:rsidR="001B642F" w:rsidRPr="006F6242">
        <w:rPr>
          <w:b/>
          <w:sz w:val="24"/>
          <w:szCs w:val="24"/>
        </w:rPr>
        <w:t>Structure of the Senior Public Service</w:t>
      </w:r>
      <w:r w:rsidR="0077203D" w:rsidRPr="006F6242">
        <w:rPr>
          <w:b/>
          <w:sz w:val="24"/>
          <w:szCs w:val="24"/>
        </w:rPr>
        <w:t xml:space="preserve"> (SPS)</w:t>
      </w:r>
    </w:p>
    <w:p w:rsidR="001B642F" w:rsidRDefault="00307E3D" w:rsidP="00051EB0">
      <w:pPr>
        <w:spacing w:after="0" w:line="240" w:lineRule="auto"/>
        <w:ind w:left="1440"/>
        <w:jc w:val="both"/>
        <w:rPr>
          <w:b/>
          <w:sz w:val="20"/>
          <w:szCs w:val="20"/>
        </w:rPr>
      </w:pPr>
      <w:r w:rsidRPr="00F0167C">
        <w:rPr>
          <w:b/>
          <w:sz w:val="20"/>
          <w:szCs w:val="20"/>
        </w:rPr>
        <w:t>Figure 1.17</w:t>
      </w:r>
      <w:r w:rsidR="004C1927" w:rsidRPr="00F0167C">
        <w:rPr>
          <w:b/>
          <w:sz w:val="20"/>
          <w:szCs w:val="20"/>
        </w:rPr>
        <w:t>:</w:t>
      </w:r>
      <w:r w:rsidR="004C1927" w:rsidRPr="00051EB0">
        <w:rPr>
          <w:sz w:val="20"/>
          <w:szCs w:val="20"/>
        </w:rPr>
        <w:tab/>
      </w:r>
      <w:r w:rsidR="004C1927" w:rsidRPr="00051EB0">
        <w:rPr>
          <w:b/>
          <w:sz w:val="20"/>
          <w:szCs w:val="20"/>
        </w:rPr>
        <w:t>Structure of the Senior Public Service across EUPAN Member States</w:t>
      </w:r>
      <w:r w:rsidR="00051EB0" w:rsidRPr="00051EB0">
        <w:rPr>
          <w:b/>
          <w:sz w:val="20"/>
          <w:szCs w:val="20"/>
        </w:rPr>
        <w:t xml:space="preserve"> – 2012</w:t>
      </w:r>
      <w:r w:rsidR="00AB3631" w:rsidRPr="00051EB0">
        <w:rPr>
          <w:b/>
          <w:sz w:val="20"/>
          <w:szCs w:val="20"/>
        </w:rPr>
        <w:t xml:space="preserve"> vs. 2006</w:t>
      </w:r>
    </w:p>
    <w:p w:rsidR="00051EB0" w:rsidRPr="00051EB0" w:rsidRDefault="00051EB0" w:rsidP="00051EB0">
      <w:pPr>
        <w:spacing w:after="0" w:line="240" w:lineRule="auto"/>
        <w:ind w:left="1440"/>
        <w:jc w:val="both"/>
        <w:rPr>
          <w:b/>
          <w:sz w:val="20"/>
          <w:szCs w:val="20"/>
        </w:rPr>
      </w:pPr>
    </w:p>
    <w:p w:rsidR="00D324BF" w:rsidRPr="001A62CB" w:rsidRDefault="00E2727A" w:rsidP="003E4FC2">
      <w:pPr>
        <w:spacing w:after="0" w:line="240" w:lineRule="auto"/>
        <w:ind w:left="709"/>
        <w:jc w:val="both"/>
        <w:rPr>
          <w:sz w:val="24"/>
          <w:szCs w:val="24"/>
        </w:rPr>
      </w:pPr>
      <w:r>
        <w:rPr>
          <w:noProof/>
          <w:sz w:val="24"/>
          <w:szCs w:val="24"/>
          <w:lang w:val="en-US"/>
        </w:rPr>
        <w:drawing>
          <wp:inline distT="0" distB="0" distL="0" distR="0" wp14:anchorId="64815368" wp14:editId="5069A78E">
            <wp:extent cx="5229225" cy="2552700"/>
            <wp:effectExtent l="0" t="0" r="9525" b="19050"/>
            <wp:docPr id="17"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431D1" w:rsidRDefault="00B431D1" w:rsidP="009F1F7E">
      <w:pPr>
        <w:spacing w:after="0" w:line="240" w:lineRule="auto"/>
        <w:ind w:left="709"/>
        <w:contextualSpacing/>
        <w:jc w:val="both"/>
        <w:rPr>
          <w:sz w:val="24"/>
          <w:szCs w:val="24"/>
        </w:rPr>
      </w:pPr>
    </w:p>
    <w:p w:rsidR="00597329" w:rsidRDefault="009F1F7E" w:rsidP="009F1F7E">
      <w:pPr>
        <w:spacing w:after="0" w:line="240" w:lineRule="auto"/>
        <w:ind w:left="709"/>
        <w:contextualSpacing/>
        <w:jc w:val="both"/>
        <w:rPr>
          <w:sz w:val="24"/>
          <w:szCs w:val="24"/>
        </w:rPr>
      </w:pPr>
      <w:r>
        <w:rPr>
          <w:sz w:val="24"/>
          <w:szCs w:val="24"/>
        </w:rPr>
        <w:t>Twenty seven Member States responded to this question. Four Member States</w:t>
      </w:r>
      <w:r w:rsidRPr="001A62CB">
        <w:rPr>
          <w:sz w:val="24"/>
          <w:szCs w:val="24"/>
        </w:rPr>
        <w:t xml:space="preserve"> </w:t>
      </w:r>
      <w:r w:rsidR="005514E0" w:rsidRPr="001A62CB">
        <w:rPr>
          <w:sz w:val="24"/>
          <w:szCs w:val="24"/>
        </w:rPr>
        <w:t>(</w:t>
      </w:r>
      <w:r w:rsidR="005514E0" w:rsidRPr="00BC0D8D">
        <w:rPr>
          <w:b/>
          <w:sz w:val="24"/>
          <w:szCs w:val="24"/>
        </w:rPr>
        <w:t xml:space="preserve">Austria, Hungary, </w:t>
      </w:r>
      <w:r w:rsidR="00FF4F72" w:rsidRPr="00BC0D8D">
        <w:rPr>
          <w:b/>
          <w:sz w:val="24"/>
          <w:szCs w:val="24"/>
        </w:rPr>
        <w:t>Ireland and Latvia</w:t>
      </w:r>
      <w:r w:rsidR="00FF4F72" w:rsidRPr="001A62CB">
        <w:rPr>
          <w:sz w:val="24"/>
          <w:szCs w:val="24"/>
        </w:rPr>
        <w:t>)</w:t>
      </w:r>
      <w:r w:rsidR="005514E0" w:rsidRPr="001A62CB">
        <w:rPr>
          <w:sz w:val="24"/>
          <w:szCs w:val="24"/>
        </w:rPr>
        <w:t xml:space="preserve"> </w:t>
      </w:r>
      <w:r w:rsidR="00FD67D0" w:rsidRPr="001A62CB">
        <w:rPr>
          <w:sz w:val="24"/>
          <w:szCs w:val="24"/>
        </w:rPr>
        <w:t>reported changes</w:t>
      </w:r>
      <w:r w:rsidR="00EC4F66" w:rsidRPr="001A62CB">
        <w:rPr>
          <w:sz w:val="24"/>
          <w:szCs w:val="24"/>
        </w:rPr>
        <w:t xml:space="preserve"> in relation</w:t>
      </w:r>
      <w:r w:rsidR="00FD67D0" w:rsidRPr="001A62CB">
        <w:rPr>
          <w:sz w:val="24"/>
          <w:szCs w:val="24"/>
        </w:rPr>
        <w:t xml:space="preserve"> to the structu</w:t>
      </w:r>
      <w:r w:rsidR="0004086A" w:rsidRPr="001A62CB">
        <w:rPr>
          <w:sz w:val="24"/>
          <w:szCs w:val="24"/>
        </w:rPr>
        <w:t>re of the senior public service</w:t>
      </w:r>
      <w:r w:rsidR="00597329">
        <w:rPr>
          <w:sz w:val="24"/>
          <w:szCs w:val="24"/>
        </w:rPr>
        <w:t xml:space="preserve">. </w:t>
      </w:r>
      <w:r w:rsidR="009A3AD8">
        <w:rPr>
          <w:sz w:val="24"/>
          <w:szCs w:val="24"/>
        </w:rPr>
        <w:t>Six</w:t>
      </w:r>
      <w:r w:rsidR="00597329">
        <w:rPr>
          <w:sz w:val="24"/>
          <w:szCs w:val="24"/>
        </w:rPr>
        <w:t xml:space="preserve"> Member States report</w:t>
      </w:r>
      <w:r w:rsidR="000806D7">
        <w:rPr>
          <w:sz w:val="24"/>
          <w:szCs w:val="24"/>
        </w:rPr>
        <w:t>ed</w:t>
      </w:r>
      <w:r w:rsidR="00597329">
        <w:rPr>
          <w:sz w:val="24"/>
          <w:szCs w:val="24"/>
        </w:rPr>
        <w:t xml:space="preserve"> no specific senior public service</w:t>
      </w:r>
      <w:r w:rsidR="009A3AD8">
        <w:rPr>
          <w:sz w:val="24"/>
          <w:szCs w:val="24"/>
        </w:rPr>
        <w:t xml:space="preserve"> </w:t>
      </w:r>
      <w:r w:rsidR="00597329">
        <w:rPr>
          <w:sz w:val="24"/>
          <w:szCs w:val="24"/>
        </w:rPr>
        <w:t>(</w:t>
      </w:r>
      <w:r w:rsidR="00597329" w:rsidRPr="009A3AD8">
        <w:rPr>
          <w:b/>
          <w:sz w:val="24"/>
          <w:szCs w:val="24"/>
        </w:rPr>
        <w:t xml:space="preserve">Latvia, </w:t>
      </w:r>
      <w:r w:rsidR="009A3AD8" w:rsidRPr="009A3AD8">
        <w:rPr>
          <w:b/>
          <w:sz w:val="24"/>
          <w:szCs w:val="24"/>
        </w:rPr>
        <w:t>Lithuania, Poland, Romania, Slovakia, and Sweden</w:t>
      </w:r>
      <w:r w:rsidR="009A3AD8">
        <w:rPr>
          <w:sz w:val="24"/>
          <w:szCs w:val="24"/>
        </w:rPr>
        <w:t>)</w:t>
      </w:r>
      <w:r w:rsidR="00CB5D34">
        <w:rPr>
          <w:sz w:val="24"/>
          <w:szCs w:val="24"/>
        </w:rPr>
        <w:t xml:space="preserve"> as a distinct element of the </w:t>
      </w:r>
      <w:bookmarkStart w:id="0" w:name="_GoBack"/>
      <w:r w:rsidR="00CB5D34">
        <w:rPr>
          <w:sz w:val="24"/>
          <w:szCs w:val="24"/>
        </w:rPr>
        <w:t>Civil S</w:t>
      </w:r>
      <w:r w:rsidR="009A3AD8">
        <w:rPr>
          <w:sz w:val="24"/>
          <w:szCs w:val="24"/>
        </w:rPr>
        <w:t>ervice</w:t>
      </w:r>
      <w:bookmarkEnd w:id="0"/>
      <w:r w:rsidR="009A3AD8">
        <w:rPr>
          <w:sz w:val="24"/>
          <w:szCs w:val="24"/>
        </w:rPr>
        <w:t xml:space="preserve">. No change to the structure of the senior public service is reported by 17 Member States </w:t>
      </w:r>
      <w:r w:rsidR="009A3AD8" w:rsidRPr="001A62CB">
        <w:rPr>
          <w:sz w:val="24"/>
          <w:szCs w:val="24"/>
        </w:rPr>
        <w:t>(</w:t>
      </w:r>
      <w:r w:rsidR="009A3AD8" w:rsidRPr="001A62CB">
        <w:rPr>
          <w:b/>
          <w:sz w:val="24"/>
          <w:szCs w:val="24"/>
        </w:rPr>
        <w:t xml:space="preserve">Belgium, Bulgaria, Cyprus, the Czech Republic, </w:t>
      </w:r>
      <w:r w:rsidR="009A3AD8">
        <w:rPr>
          <w:b/>
          <w:sz w:val="24"/>
          <w:szCs w:val="24"/>
        </w:rPr>
        <w:t>Denmark, Estonia, Finland, France</w:t>
      </w:r>
      <w:r w:rsidR="009A3AD8" w:rsidRPr="001A62CB">
        <w:rPr>
          <w:b/>
          <w:sz w:val="24"/>
          <w:szCs w:val="24"/>
        </w:rPr>
        <w:t xml:space="preserve">, Germany, </w:t>
      </w:r>
      <w:r w:rsidR="009A3AD8">
        <w:rPr>
          <w:b/>
          <w:sz w:val="24"/>
          <w:szCs w:val="24"/>
        </w:rPr>
        <w:t xml:space="preserve">Greece, Italy, </w:t>
      </w:r>
      <w:r w:rsidR="009A3AD8" w:rsidRPr="001A62CB">
        <w:rPr>
          <w:b/>
          <w:sz w:val="24"/>
          <w:szCs w:val="24"/>
        </w:rPr>
        <w:t>Luxembourg, Malta,</w:t>
      </w:r>
      <w:r w:rsidR="009A3AD8">
        <w:rPr>
          <w:b/>
          <w:sz w:val="24"/>
          <w:szCs w:val="24"/>
        </w:rPr>
        <w:t xml:space="preserve"> Portugal,</w:t>
      </w:r>
      <w:r w:rsidR="009A3AD8" w:rsidRPr="001A62CB">
        <w:rPr>
          <w:b/>
          <w:sz w:val="24"/>
          <w:szCs w:val="24"/>
        </w:rPr>
        <w:t xml:space="preserve"> </w:t>
      </w:r>
      <w:r w:rsidR="009A3AD8">
        <w:rPr>
          <w:b/>
          <w:sz w:val="24"/>
          <w:szCs w:val="24"/>
        </w:rPr>
        <w:t>Sloven</w:t>
      </w:r>
      <w:r w:rsidR="009A3AD8" w:rsidRPr="001A62CB">
        <w:rPr>
          <w:b/>
          <w:sz w:val="24"/>
          <w:szCs w:val="24"/>
        </w:rPr>
        <w:t>ia</w:t>
      </w:r>
      <w:r w:rsidR="009A3AD8">
        <w:rPr>
          <w:b/>
          <w:sz w:val="24"/>
          <w:szCs w:val="24"/>
        </w:rPr>
        <w:t xml:space="preserve">, </w:t>
      </w:r>
      <w:r w:rsidR="009A3AD8" w:rsidRPr="001A62CB">
        <w:rPr>
          <w:b/>
          <w:sz w:val="24"/>
          <w:szCs w:val="24"/>
        </w:rPr>
        <w:t>Spain</w:t>
      </w:r>
      <w:r w:rsidR="009A3AD8">
        <w:rPr>
          <w:b/>
          <w:sz w:val="24"/>
          <w:szCs w:val="24"/>
        </w:rPr>
        <w:t xml:space="preserve"> and the UK</w:t>
      </w:r>
      <w:r w:rsidR="009A3AD8" w:rsidRPr="001A62CB">
        <w:rPr>
          <w:sz w:val="24"/>
          <w:szCs w:val="24"/>
        </w:rPr>
        <w:t>)</w:t>
      </w:r>
      <w:r w:rsidR="007B2391">
        <w:rPr>
          <w:sz w:val="24"/>
          <w:szCs w:val="24"/>
        </w:rPr>
        <w:t>. Of those reporting change:</w:t>
      </w:r>
    </w:p>
    <w:p w:rsidR="00597329" w:rsidRPr="007B2391" w:rsidRDefault="00597329" w:rsidP="0056609E">
      <w:pPr>
        <w:spacing w:after="0" w:line="240" w:lineRule="auto"/>
        <w:ind w:left="720"/>
        <w:contextualSpacing/>
        <w:jc w:val="both"/>
        <w:rPr>
          <w:sz w:val="24"/>
          <w:szCs w:val="24"/>
        </w:rPr>
      </w:pPr>
    </w:p>
    <w:p w:rsidR="007B2391" w:rsidRDefault="007B2391" w:rsidP="0056609E">
      <w:pPr>
        <w:pStyle w:val="ListParagraph"/>
        <w:spacing w:line="240" w:lineRule="auto"/>
        <w:ind w:left="1440"/>
        <w:jc w:val="both"/>
        <w:rPr>
          <w:rFonts w:cs="Calibri"/>
          <w:sz w:val="24"/>
          <w:szCs w:val="24"/>
          <w:lang w:val="en-US"/>
        </w:rPr>
      </w:pPr>
      <w:r w:rsidRPr="00980EE6">
        <w:rPr>
          <w:rFonts w:cs="Calibri"/>
          <w:sz w:val="24"/>
          <w:szCs w:val="24"/>
        </w:rPr>
        <w:t>I</w:t>
      </w:r>
      <w:r w:rsidR="00EC4F66" w:rsidRPr="00980EE6">
        <w:rPr>
          <w:rFonts w:cs="Calibri"/>
          <w:sz w:val="24"/>
          <w:szCs w:val="24"/>
        </w:rPr>
        <w:t xml:space="preserve">n </w:t>
      </w:r>
      <w:r w:rsidR="00FD67D0" w:rsidRPr="00980EE6">
        <w:rPr>
          <w:rFonts w:cs="Calibri"/>
          <w:b/>
          <w:sz w:val="24"/>
          <w:szCs w:val="24"/>
        </w:rPr>
        <w:t>Austria</w:t>
      </w:r>
      <w:r w:rsidR="00FD67D0" w:rsidRPr="00980EE6">
        <w:rPr>
          <w:rFonts w:cs="Calibri"/>
          <w:sz w:val="24"/>
          <w:szCs w:val="24"/>
        </w:rPr>
        <w:t xml:space="preserve">, </w:t>
      </w:r>
      <w:r w:rsidRPr="00980EE6">
        <w:rPr>
          <w:rFonts w:cs="Calibri"/>
          <w:sz w:val="24"/>
          <w:szCs w:val="24"/>
        </w:rPr>
        <w:t>t</w:t>
      </w:r>
      <w:r w:rsidRPr="00980EE6">
        <w:rPr>
          <w:rFonts w:cs="Calibri"/>
          <w:sz w:val="24"/>
          <w:szCs w:val="24"/>
          <w:lang w:val="en-US"/>
        </w:rPr>
        <w:t xml:space="preserve">he proportion of women in top managerial positions increased from </w:t>
      </w:r>
      <w:r w:rsidR="000806D7">
        <w:rPr>
          <w:rFonts w:cs="Calibri"/>
          <w:sz w:val="24"/>
          <w:szCs w:val="24"/>
          <w:lang w:val="en-US"/>
        </w:rPr>
        <w:t>21.3%</w:t>
      </w:r>
      <w:r w:rsidRPr="00980EE6">
        <w:rPr>
          <w:rFonts w:cs="Calibri"/>
          <w:sz w:val="24"/>
          <w:szCs w:val="24"/>
          <w:lang w:val="en-US"/>
        </w:rPr>
        <w:t xml:space="preserve"> (2009) </w:t>
      </w:r>
      <w:proofErr w:type="gramStart"/>
      <w:r w:rsidRPr="00980EE6">
        <w:rPr>
          <w:rFonts w:cs="Calibri"/>
          <w:sz w:val="24"/>
          <w:szCs w:val="24"/>
          <w:lang w:val="en-US"/>
        </w:rPr>
        <w:t xml:space="preserve">to </w:t>
      </w:r>
      <w:r w:rsidR="000806D7">
        <w:rPr>
          <w:rFonts w:cs="Calibri"/>
          <w:sz w:val="24"/>
          <w:szCs w:val="24"/>
          <w:lang w:val="en-US"/>
        </w:rPr>
        <w:t xml:space="preserve"> 23.2</w:t>
      </w:r>
      <w:proofErr w:type="gramEnd"/>
      <w:r w:rsidR="000806D7">
        <w:rPr>
          <w:rFonts w:cs="Calibri"/>
          <w:sz w:val="24"/>
          <w:szCs w:val="24"/>
          <w:lang w:val="en-US"/>
        </w:rPr>
        <w:t>%</w:t>
      </w:r>
      <w:r w:rsidRPr="00980EE6">
        <w:rPr>
          <w:rFonts w:cs="Calibri"/>
          <w:sz w:val="24"/>
          <w:szCs w:val="24"/>
          <w:lang w:val="en-US"/>
        </w:rPr>
        <w:t xml:space="preserve"> (June 2012). Out of a total of 69 </w:t>
      </w:r>
      <w:r w:rsidR="00E14947">
        <w:rPr>
          <w:rFonts w:cs="Calibri"/>
          <w:sz w:val="24"/>
          <w:szCs w:val="24"/>
          <w:lang w:val="en-US"/>
        </w:rPr>
        <w:t>D</w:t>
      </w:r>
      <w:r w:rsidRPr="00980EE6">
        <w:rPr>
          <w:rFonts w:cs="Calibri"/>
          <w:sz w:val="24"/>
          <w:szCs w:val="24"/>
          <w:lang w:val="en-US"/>
        </w:rPr>
        <w:t>irectorates</w:t>
      </w:r>
      <w:r w:rsidR="00E14947">
        <w:rPr>
          <w:rFonts w:cs="Calibri"/>
          <w:sz w:val="24"/>
          <w:szCs w:val="24"/>
          <w:lang w:val="en-US"/>
        </w:rPr>
        <w:t xml:space="preserve"> G</w:t>
      </w:r>
      <w:r w:rsidRPr="00980EE6">
        <w:rPr>
          <w:rFonts w:cs="Calibri"/>
          <w:sz w:val="24"/>
          <w:szCs w:val="24"/>
          <w:lang w:val="en-US"/>
        </w:rPr>
        <w:t xml:space="preserve">eneral, 16 are currently headed by women. Measurements like gender auditing and the Cross Mentoring </w:t>
      </w:r>
      <w:proofErr w:type="spellStart"/>
      <w:r w:rsidRPr="00980EE6">
        <w:rPr>
          <w:rFonts w:cs="Calibri"/>
          <w:sz w:val="24"/>
          <w:szCs w:val="24"/>
          <w:lang w:val="en-US"/>
        </w:rPr>
        <w:t>programme</w:t>
      </w:r>
      <w:proofErr w:type="spellEnd"/>
      <w:r w:rsidRPr="00980EE6">
        <w:rPr>
          <w:rFonts w:cs="Calibri"/>
          <w:sz w:val="24"/>
          <w:szCs w:val="24"/>
          <w:lang w:val="en-US"/>
        </w:rPr>
        <w:t xml:space="preserve"> </w:t>
      </w:r>
      <w:r w:rsidR="0056609E" w:rsidRPr="00980EE6">
        <w:rPr>
          <w:rFonts w:cs="Calibri"/>
          <w:sz w:val="24"/>
          <w:szCs w:val="24"/>
          <w:lang w:val="en-US"/>
        </w:rPr>
        <w:t>are available</w:t>
      </w:r>
      <w:r w:rsidR="00BC0D8D" w:rsidRPr="00980EE6">
        <w:rPr>
          <w:rFonts w:cs="Calibri"/>
          <w:sz w:val="24"/>
          <w:szCs w:val="24"/>
          <w:lang w:val="en-US"/>
        </w:rPr>
        <w:t xml:space="preserve"> </w:t>
      </w:r>
      <w:r w:rsidRPr="00980EE6">
        <w:rPr>
          <w:rFonts w:cs="Calibri"/>
          <w:sz w:val="24"/>
          <w:szCs w:val="24"/>
          <w:lang w:val="en-US"/>
        </w:rPr>
        <w:t>to support this positive trend.</w:t>
      </w:r>
    </w:p>
    <w:p w:rsidR="0056609E" w:rsidRDefault="0056609E" w:rsidP="0056609E">
      <w:pPr>
        <w:pStyle w:val="ListParagraph"/>
        <w:spacing w:after="0" w:line="240" w:lineRule="auto"/>
        <w:ind w:left="0"/>
        <w:jc w:val="both"/>
        <w:rPr>
          <w:rFonts w:cs="Calibri"/>
          <w:sz w:val="24"/>
          <w:szCs w:val="24"/>
        </w:rPr>
      </w:pPr>
    </w:p>
    <w:p w:rsidR="007B2391" w:rsidRDefault="00EC4F66" w:rsidP="0056609E">
      <w:pPr>
        <w:pStyle w:val="ListParagraph"/>
        <w:spacing w:after="0" w:line="240" w:lineRule="auto"/>
        <w:ind w:left="1440"/>
        <w:jc w:val="both"/>
        <w:rPr>
          <w:rFonts w:cs="Calibri"/>
          <w:sz w:val="24"/>
          <w:szCs w:val="24"/>
        </w:rPr>
      </w:pPr>
      <w:r w:rsidRPr="00980EE6">
        <w:rPr>
          <w:rFonts w:cs="Calibri"/>
          <w:sz w:val="24"/>
          <w:szCs w:val="24"/>
        </w:rPr>
        <w:t xml:space="preserve">In </w:t>
      </w:r>
      <w:r w:rsidRPr="00980EE6">
        <w:rPr>
          <w:rFonts w:cs="Calibri"/>
          <w:b/>
          <w:sz w:val="24"/>
          <w:szCs w:val="24"/>
        </w:rPr>
        <w:t>Ireland</w:t>
      </w:r>
      <w:r w:rsidR="00537DBF" w:rsidRPr="00980EE6">
        <w:rPr>
          <w:rFonts w:cs="Calibri"/>
          <w:sz w:val="24"/>
          <w:szCs w:val="24"/>
        </w:rPr>
        <w:t xml:space="preserve"> the Senior Public Service</w:t>
      </w:r>
      <w:r w:rsidR="009F1F7E">
        <w:rPr>
          <w:rFonts w:cs="Calibri"/>
          <w:sz w:val="24"/>
          <w:szCs w:val="24"/>
        </w:rPr>
        <w:t xml:space="preserve"> (SPS)</w:t>
      </w:r>
      <w:r w:rsidR="00537DBF" w:rsidRPr="00980EE6">
        <w:rPr>
          <w:rFonts w:cs="Calibri"/>
          <w:sz w:val="24"/>
          <w:szCs w:val="24"/>
        </w:rPr>
        <w:t xml:space="preserve"> has been established </w:t>
      </w:r>
      <w:r w:rsidR="000806D7">
        <w:rPr>
          <w:rFonts w:cs="Calibri"/>
          <w:sz w:val="24"/>
          <w:szCs w:val="24"/>
        </w:rPr>
        <w:t xml:space="preserve">to </w:t>
      </w:r>
      <w:r w:rsidR="009F1F7E">
        <w:rPr>
          <w:rFonts w:cs="Calibri"/>
          <w:lang w:val="en-US" w:eastAsia="en-IE"/>
        </w:rPr>
        <w:t>promote a more integrated Public Service and strengthen its senior management and leadership capacity</w:t>
      </w:r>
      <w:r w:rsidR="009F1F7E">
        <w:rPr>
          <w:rFonts w:cs="Calibri"/>
          <w:sz w:val="24"/>
          <w:szCs w:val="24"/>
        </w:rPr>
        <w:t>.</w:t>
      </w:r>
    </w:p>
    <w:p w:rsidR="0056609E" w:rsidRPr="00980EE6" w:rsidRDefault="0056609E" w:rsidP="0056609E">
      <w:pPr>
        <w:pStyle w:val="ListParagraph"/>
        <w:spacing w:after="0" w:line="240" w:lineRule="auto"/>
        <w:ind w:left="1440"/>
        <w:jc w:val="both"/>
        <w:rPr>
          <w:rFonts w:cs="Calibri"/>
          <w:i/>
          <w:sz w:val="24"/>
          <w:szCs w:val="24"/>
        </w:rPr>
      </w:pPr>
    </w:p>
    <w:p w:rsidR="007B2391" w:rsidRDefault="007B2391" w:rsidP="0056609E">
      <w:pPr>
        <w:pStyle w:val="ListParagraph"/>
        <w:spacing w:after="0" w:line="240" w:lineRule="auto"/>
        <w:ind w:left="1440"/>
        <w:jc w:val="both"/>
        <w:rPr>
          <w:rFonts w:cs="Calibri"/>
          <w:sz w:val="24"/>
          <w:szCs w:val="24"/>
        </w:rPr>
      </w:pPr>
      <w:r w:rsidRPr="00980EE6">
        <w:rPr>
          <w:rFonts w:cs="Calibri"/>
          <w:sz w:val="24"/>
          <w:szCs w:val="24"/>
        </w:rPr>
        <w:t xml:space="preserve">The new Government that came into power in </w:t>
      </w:r>
      <w:r w:rsidRPr="0056609E">
        <w:rPr>
          <w:rFonts w:cs="Calibri"/>
          <w:b/>
          <w:sz w:val="24"/>
          <w:szCs w:val="24"/>
        </w:rPr>
        <w:t>Hungary</w:t>
      </w:r>
      <w:r w:rsidRPr="00980EE6">
        <w:rPr>
          <w:rFonts w:cs="Calibri"/>
          <w:sz w:val="24"/>
          <w:szCs w:val="24"/>
        </w:rPr>
        <w:t xml:space="preserve"> in 2010 has introduced refor</w:t>
      </w:r>
      <w:r w:rsidR="0056609E">
        <w:rPr>
          <w:rFonts w:cs="Calibri"/>
          <w:sz w:val="24"/>
          <w:szCs w:val="24"/>
        </w:rPr>
        <w:t xml:space="preserve">ms in the senior public service. </w:t>
      </w:r>
    </w:p>
    <w:p w:rsidR="0056609E" w:rsidRPr="00980EE6" w:rsidRDefault="0056609E" w:rsidP="0056609E">
      <w:pPr>
        <w:pStyle w:val="ListParagraph"/>
        <w:spacing w:after="0" w:line="240" w:lineRule="auto"/>
        <w:ind w:left="1440"/>
        <w:jc w:val="both"/>
        <w:rPr>
          <w:rFonts w:cs="Calibri"/>
          <w:i/>
          <w:sz w:val="24"/>
          <w:szCs w:val="24"/>
        </w:rPr>
      </w:pPr>
    </w:p>
    <w:p w:rsidR="007B2391" w:rsidRPr="0056609E" w:rsidRDefault="007B2391" w:rsidP="0056609E">
      <w:pPr>
        <w:pStyle w:val="ListParagraph"/>
        <w:spacing w:after="0" w:line="240" w:lineRule="auto"/>
        <w:ind w:left="1440"/>
        <w:jc w:val="both"/>
        <w:rPr>
          <w:rFonts w:cs="Calibri"/>
          <w:i/>
          <w:sz w:val="24"/>
          <w:szCs w:val="24"/>
        </w:rPr>
      </w:pPr>
      <w:r w:rsidRPr="00980EE6">
        <w:rPr>
          <w:rFonts w:cs="Calibri"/>
          <w:sz w:val="24"/>
          <w:szCs w:val="24"/>
        </w:rPr>
        <w:t xml:space="preserve">In </w:t>
      </w:r>
      <w:r w:rsidRPr="0056609E">
        <w:rPr>
          <w:rFonts w:cs="Calibri"/>
          <w:b/>
          <w:sz w:val="24"/>
          <w:szCs w:val="24"/>
        </w:rPr>
        <w:t>the</w:t>
      </w:r>
      <w:r w:rsidRPr="00980EE6">
        <w:rPr>
          <w:rFonts w:cs="Calibri"/>
          <w:sz w:val="24"/>
          <w:szCs w:val="24"/>
        </w:rPr>
        <w:t xml:space="preserve"> </w:t>
      </w:r>
      <w:r w:rsidRPr="0056609E">
        <w:rPr>
          <w:rFonts w:cs="Calibri"/>
          <w:b/>
          <w:sz w:val="24"/>
          <w:szCs w:val="24"/>
        </w:rPr>
        <w:t>Netherlands</w:t>
      </w:r>
      <w:r w:rsidRPr="00980EE6">
        <w:rPr>
          <w:rFonts w:cs="Calibri"/>
          <w:sz w:val="24"/>
          <w:szCs w:val="24"/>
        </w:rPr>
        <w:t xml:space="preserve">, the top management of the </w:t>
      </w:r>
      <w:r w:rsidR="005E0999">
        <w:rPr>
          <w:rFonts w:cs="Calibri"/>
          <w:sz w:val="24"/>
          <w:szCs w:val="24"/>
        </w:rPr>
        <w:t xml:space="preserve">Ministry of </w:t>
      </w:r>
      <w:r w:rsidRPr="00980EE6">
        <w:rPr>
          <w:rFonts w:cs="Calibri"/>
          <w:sz w:val="24"/>
          <w:szCs w:val="24"/>
        </w:rPr>
        <w:t>Foreign Affairs has been included in the Senior Public Service</w:t>
      </w:r>
      <w:r w:rsidR="0056609E">
        <w:rPr>
          <w:rFonts w:cs="Calibri"/>
          <w:sz w:val="24"/>
          <w:szCs w:val="24"/>
        </w:rPr>
        <w:t>.</w:t>
      </w:r>
    </w:p>
    <w:p w:rsidR="0056609E" w:rsidRPr="00980EE6" w:rsidRDefault="0056609E" w:rsidP="0056609E">
      <w:pPr>
        <w:pStyle w:val="ListParagraph"/>
        <w:spacing w:after="0" w:line="240" w:lineRule="auto"/>
        <w:ind w:left="1440"/>
        <w:jc w:val="both"/>
        <w:rPr>
          <w:rFonts w:cs="Calibri"/>
          <w:i/>
          <w:sz w:val="24"/>
          <w:szCs w:val="24"/>
        </w:rPr>
      </w:pPr>
    </w:p>
    <w:p w:rsidR="005E0999" w:rsidRDefault="006172A6" w:rsidP="009F1F7E">
      <w:pPr>
        <w:pStyle w:val="ListParagraph"/>
        <w:spacing w:after="0" w:line="240" w:lineRule="auto"/>
        <w:ind w:left="1440"/>
        <w:jc w:val="both"/>
        <w:rPr>
          <w:sz w:val="24"/>
          <w:szCs w:val="24"/>
        </w:rPr>
      </w:pPr>
      <w:r w:rsidRPr="00980EE6">
        <w:rPr>
          <w:rFonts w:cs="Calibri"/>
          <w:sz w:val="24"/>
          <w:szCs w:val="24"/>
        </w:rPr>
        <w:t>A number of Member States identif</w:t>
      </w:r>
      <w:r w:rsidR="00BC0D8D" w:rsidRPr="00980EE6">
        <w:rPr>
          <w:rFonts w:cs="Calibri"/>
          <w:sz w:val="24"/>
          <w:szCs w:val="24"/>
        </w:rPr>
        <w:t xml:space="preserve">ied </w:t>
      </w:r>
      <w:r w:rsidRPr="00980EE6">
        <w:rPr>
          <w:rFonts w:cs="Calibri"/>
          <w:sz w:val="24"/>
          <w:szCs w:val="24"/>
        </w:rPr>
        <w:t>a senior public service</w:t>
      </w:r>
      <w:r w:rsidR="00BC0D8D" w:rsidRPr="00980EE6">
        <w:rPr>
          <w:rFonts w:cs="Calibri"/>
          <w:sz w:val="24"/>
          <w:szCs w:val="24"/>
        </w:rPr>
        <w:t xml:space="preserve"> cadre</w:t>
      </w:r>
      <w:r w:rsidRPr="00980EE6">
        <w:rPr>
          <w:rFonts w:cs="Calibri"/>
          <w:sz w:val="24"/>
          <w:szCs w:val="24"/>
        </w:rPr>
        <w:t xml:space="preserve"> as </w:t>
      </w:r>
      <w:r w:rsidR="0056609E" w:rsidRPr="00980EE6">
        <w:rPr>
          <w:rFonts w:cs="Calibri"/>
          <w:sz w:val="24"/>
          <w:szCs w:val="24"/>
        </w:rPr>
        <w:t>an option</w:t>
      </w:r>
      <w:r w:rsidR="004B058D" w:rsidRPr="00980EE6">
        <w:rPr>
          <w:rFonts w:cs="Calibri"/>
          <w:sz w:val="24"/>
          <w:szCs w:val="24"/>
        </w:rPr>
        <w:t xml:space="preserve"> </w:t>
      </w:r>
      <w:r w:rsidR="0056609E">
        <w:rPr>
          <w:rFonts w:cs="Calibri"/>
          <w:sz w:val="24"/>
          <w:szCs w:val="24"/>
        </w:rPr>
        <w:t xml:space="preserve">for </w:t>
      </w:r>
      <w:r w:rsidR="004B058D" w:rsidRPr="00980EE6">
        <w:rPr>
          <w:rFonts w:cs="Calibri"/>
          <w:sz w:val="24"/>
          <w:szCs w:val="24"/>
        </w:rPr>
        <w:t xml:space="preserve">further </w:t>
      </w:r>
      <w:r w:rsidRPr="00980EE6">
        <w:rPr>
          <w:rFonts w:cs="Calibri"/>
          <w:sz w:val="24"/>
          <w:szCs w:val="24"/>
        </w:rPr>
        <w:t xml:space="preserve">consideration </w:t>
      </w:r>
      <w:r w:rsidR="0056609E" w:rsidRPr="00980EE6">
        <w:rPr>
          <w:rFonts w:cs="Calibri"/>
          <w:sz w:val="24"/>
          <w:szCs w:val="24"/>
        </w:rPr>
        <w:t>and possible</w:t>
      </w:r>
      <w:r w:rsidR="004B058D" w:rsidRPr="00980EE6">
        <w:rPr>
          <w:rFonts w:cs="Calibri"/>
          <w:sz w:val="24"/>
          <w:szCs w:val="24"/>
        </w:rPr>
        <w:t xml:space="preserve"> </w:t>
      </w:r>
      <w:r w:rsidRPr="00980EE6">
        <w:rPr>
          <w:rFonts w:cs="Calibri"/>
          <w:sz w:val="24"/>
          <w:szCs w:val="24"/>
        </w:rPr>
        <w:t xml:space="preserve">development. </w:t>
      </w:r>
      <w:r w:rsidR="0056609E" w:rsidRPr="00980EE6">
        <w:rPr>
          <w:rFonts w:cs="Calibri"/>
          <w:b/>
          <w:sz w:val="24"/>
          <w:szCs w:val="24"/>
        </w:rPr>
        <w:t>Latvia</w:t>
      </w:r>
      <w:r w:rsidR="0056609E" w:rsidRPr="00980EE6">
        <w:rPr>
          <w:rFonts w:cs="Calibri"/>
          <w:sz w:val="24"/>
          <w:szCs w:val="24"/>
        </w:rPr>
        <w:t xml:space="preserve"> considered</w:t>
      </w:r>
      <w:r w:rsidR="004B058D" w:rsidRPr="00980EE6">
        <w:rPr>
          <w:rFonts w:cs="Calibri"/>
          <w:sz w:val="24"/>
          <w:szCs w:val="24"/>
        </w:rPr>
        <w:t xml:space="preserve"> </w:t>
      </w:r>
      <w:r w:rsidR="00CB5D34">
        <w:rPr>
          <w:rFonts w:cs="Calibri"/>
          <w:sz w:val="24"/>
          <w:szCs w:val="24"/>
        </w:rPr>
        <w:t>the SPS as a key area for Civil S</w:t>
      </w:r>
      <w:r w:rsidR="0077203D" w:rsidRPr="00980EE6">
        <w:rPr>
          <w:rFonts w:cs="Calibri"/>
          <w:sz w:val="24"/>
          <w:szCs w:val="24"/>
        </w:rPr>
        <w:t xml:space="preserve">ervice </w:t>
      </w:r>
      <w:r w:rsidR="0056609E" w:rsidRPr="00980EE6">
        <w:rPr>
          <w:rFonts w:cs="Calibri"/>
          <w:sz w:val="24"/>
          <w:szCs w:val="24"/>
        </w:rPr>
        <w:t>reform and</w:t>
      </w:r>
      <w:r w:rsidR="00E14947">
        <w:rPr>
          <w:rFonts w:cs="Calibri"/>
          <w:sz w:val="24"/>
          <w:szCs w:val="24"/>
        </w:rPr>
        <w:t>,</w:t>
      </w:r>
      <w:r w:rsidR="004B058D" w:rsidRPr="00980EE6">
        <w:rPr>
          <w:rFonts w:cs="Calibri"/>
          <w:sz w:val="24"/>
          <w:szCs w:val="24"/>
        </w:rPr>
        <w:t xml:space="preserve"> in this context</w:t>
      </w:r>
      <w:r w:rsidR="00E14947">
        <w:rPr>
          <w:rFonts w:cs="Calibri"/>
          <w:sz w:val="24"/>
          <w:szCs w:val="24"/>
        </w:rPr>
        <w:t>,</w:t>
      </w:r>
      <w:r w:rsidR="004B058D" w:rsidRPr="00980EE6">
        <w:rPr>
          <w:rFonts w:cs="Calibri"/>
          <w:sz w:val="24"/>
          <w:szCs w:val="24"/>
        </w:rPr>
        <w:t xml:space="preserve"> </w:t>
      </w:r>
      <w:r w:rsidR="002347B3" w:rsidRPr="00980EE6">
        <w:rPr>
          <w:rFonts w:cs="Calibri"/>
          <w:sz w:val="24"/>
          <w:szCs w:val="24"/>
        </w:rPr>
        <w:t>expects to introduce a shared service centre for the selection of senior public servants.</w:t>
      </w:r>
      <w:r w:rsidR="002347B3" w:rsidRPr="00980EE6">
        <w:rPr>
          <w:rFonts w:cs="Calibri"/>
          <w:b/>
          <w:sz w:val="24"/>
          <w:szCs w:val="24"/>
        </w:rPr>
        <w:t xml:space="preserve"> </w:t>
      </w:r>
      <w:r w:rsidR="008E5E17" w:rsidRPr="001A62CB">
        <w:rPr>
          <w:sz w:val="24"/>
          <w:szCs w:val="24"/>
        </w:rPr>
        <w:lastRenderedPageBreak/>
        <w:t xml:space="preserve">In the </w:t>
      </w:r>
      <w:r w:rsidR="007B2391">
        <w:rPr>
          <w:sz w:val="24"/>
          <w:szCs w:val="24"/>
        </w:rPr>
        <w:t xml:space="preserve">majority of Member States </w:t>
      </w:r>
      <w:r w:rsidR="002D6A43">
        <w:rPr>
          <w:sz w:val="24"/>
          <w:szCs w:val="24"/>
        </w:rPr>
        <w:t xml:space="preserve">no change </w:t>
      </w:r>
      <w:r w:rsidR="008E5E17" w:rsidRPr="001A62CB">
        <w:rPr>
          <w:sz w:val="24"/>
          <w:szCs w:val="24"/>
        </w:rPr>
        <w:t xml:space="preserve">has been </w:t>
      </w:r>
      <w:r w:rsidR="002D6A43">
        <w:rPr>
          <w:sz w:val="24"/>
          <w:szCs w:val="24"/>
        </w:rPr>
        <w:t>is reported</w:t>
      </w:r>
      <w:r w:rsidR="008E5E17" w:rsidRPr="001A62CB">
        <w:rPr>
          <w:sz w:val="24"/>
          <w:szCs w:val="24"/>
        </w:rPr>
        <w:t xml:space="preserve"> to the structure of the </w:t>
      </w:r>
      <w:r w:rsidR="008C5E91" w:rsidRPr="001A62CB">
        <w:rPr>
          <w:sz w:val="24"/>
          <w:szCs w:val="24"/>
        </w:rPr>
        <w:t>S</w:t>
      </w:r>
      <w:r w:rsidR="008E5E17" w:rsidRPr="001A62CB">
        <w:rPr>
          <w:sz w:val="24"/>
          <w:szCs w:val="24"/>
        </w:rPr>
        <w:t xml:space="preserve">enior </w:t>
      </w:r>
      <w:r w:rsidR="008C5E91" w:rsidRPr="001A62CB">
        <w:rPr>
          <w:sz w:val="24"/>
          <w:szCs w:val="24"/>
        </w:rPr>
        <w:t>P</w:t>
      </w:r>
      <w:r w:rsidR="008E5E17" w:rsidRPr="001A62CB">
        <w:rPr>
          <w:sz w:val="24"/>
          <w:szCs w:val="24"/>
        </w:rPr>
        <w:t xml:space="preserve">ublic </w:t>
      </w:r>
      <w:r w:rsidR="008C5E91" w:rsidRPr="001A62CB">
        <w:rPr>
          <w:sz w:val="24"/>
          <w:szCs w:val="24"/>
        </w:rPr>
        <w:t>S</w:t>
      </w:r>
      <w:r w:rsidR="008E5E17" w:rsidRPr="001A62CB">
        <w:rPr>
          <w:sz w:val="24"/>
          <w:szCs w:val="24"/>
        </w:rPr>
        <w:t>ervic</w:t>
      </w:r>
      <w:r w:rsidR="009F1F7E">
        <w:rPr>
          <w:sz w:val="24"/>
          <w:szCs w:val="24"/>
        </w:rPr>
        <w:t>e.</w:t>
      </w:r>
    </w:p>
    <w:p w:rsidR="009B3E36" w:rsidRDefault="009B3E36">
      <w:pPr>
        <w:spacing w:after="0" w:line="240" w:lineRule="auto"/>
        <w:rPr>
          <w:sz w:val="24"/>
          <w:szCs w:val="24"/>
        </w:rPr>
      </w:pPr>
      <w:r>
        <w:rPr>
          <w:sz w:val="24"/>
          <w:szCs w:val="24"/>
        </w:rPr>
        <w:br w:type="page"/>
      </w:r>
    </w:p>
    <w:p w:rsidR="001B642F" w:rsidRPr="006F6242" w:rsidRDefault="004B058D" w:rsidP="009F1F7E">
      <w:pPr>
        <w:spacing w:after="0" w:line="240" w:lineRule="auto"/>
        <w:jc w:val="both"/>
        <w:rPr>
          <w:b/>
          <w:sz w:val="24"/>
          <w:szCs w:val="24"/>
        </w:rPr>
      </w:pPr>
      <w:r>
        <w:rPr>
          <w:b/>
          <w:sz w:val="24"/>
          <w:szCs w:val="24"/>
        </w:rPr>
        <w:lastRenderedPageBreak/>
        <w:t>j</w:t>
      </w:r>
      <w:r w:rsidR="00CF7FE4">
        <w:rPr>
          <w:b/>
          <w:sz w:val="24"/>
          <w:szCs w:val="24"/>
        </w:rPr>
        <w:t>.</w:t>
      </w:r>
      <w:r>
        <w:rPr>
          <w:b/>
          <w:sz w:val="24"/>
          <w:szCs w:val="24"/>
        </w:rPr>
        <w:t xml:space="preserve"> </w:t>
      </w:r>
      <w:r w:rsidR="00F92BCE">
        <w:rPr>
          <w:b/>
          <w:sz w:val="24"/>
          <w:szCs w:val="24"/>
        </w:rPr>
        <w:tab/>
      </w:r>
      <w:r w:rsidR="001B642F" w:rsidRPr="006F6242">
        <w:rPr>
          <w:b/>
          <w:sz w:val="24"/>
          <w:szCs w:val="24"/>
        </w:rPr>
        <w:t xml:space="preserve">Recruitment and Selection </w:t>
      </w:r>
      <w:r w:rsidR="00EC3827">
        <w:rPr>
          <w:b/>
          <w:sz w:val="24"/>
          <w:szCs w:val="24"/>
        </w:rPr>
        <w:t xml:space="preserve">of </w:t>
      </w:r>
      <w:r w:rsidR="001B642F" w:rsidRPr="006F6242">
        <w:rPr>
          <w:b/>
          <w:sz w:val="24"/>
          <w:szCs w:val="24"/>
        </w:rPr>
        <w:t>the Senior Public Service</w:t>
      </w:r>
    </w:p>
    <w:p w:rsidR="0056609E" w:rsidRDefault="0056609E" w:rsidP="003E4FC2">
      <w:pPr>
        <w:spacing w:after="0" w:line="240" w:lineRule="auto"/>
        <w:jc w:val="both"/>
        <w:rPr>
          <w:sz w:val="24"/>
          <w:szCs w:val="24"/>
        </w:rPr>
      </w:pPr>
    </w:p>
    <w:p w:rsidR="001B642F" w:rsidRDefault="0056609E" w:rsidP="009F1F7E">
      <w:pPr>
        <w:spacing w:after="0" w:line="240" w:lineRule="auto"/>
        <w:ind w:left="2880" w:hanging="1440"/>
        <w:jc w:val="both"/>
        <w:rPr>
          <w:b/>
          <w:sz w:val="20"/>
          <w:szCs w:val="20"/>
        </w:rPr>
      </w:pPr>
      <w:r w:rsidRPr="00F0167C">
        <w:rPr>
          <w:b/>
          <w:sz w:val="20"/>
          <w:szCs w:val="20"/>
        </w:rPr>
        <w:t>Figure 1.1</w:t>
      </w:r>
      <w:r w:rsidR="009C12F2" w:rsidRPr="00F0167C">
        <w:rPr>
          <w:b/>
          <w:sz w:val="20"/>
          <w:szCs w:val="20"/>
        </w:rPr>
        <w:t>8</w:t>
      </w:r>
      <w:r w:rsidRPr="00F0167C">
        <w:rPr>
          <w:b/>
          <w:sz w:val="20"/>
          <w:szCs w:val="20"/>
        </w:rPr>
        <w:t>:</w:t>
      </w:r>
      <w:r w:rsidRPr="009F1F7E">
        <w:rPr>
          <w:sz w:val="20"/>
          <w:szCs w:val="20"/>
        </w:rPr>
        <w:tab/>
      </w:r>
      <w:r w:rsidRPr="009F1F7E">
        <w:rPr>
          <w:b/>
          <w:sz w:val="20"/>
          <w:szCs w:val="20"/>
        </w:rPr>
        <w:t>Recruitment and Selection for the Senior Public Service across EUPAN Member States</w:t>
      </w:r>
      <w:r w:rsidR="009F1F7E">
        <w:rPr>
          <w:b/>
          <w:sz w:val="20"/>
          <w:szCs w:val="20"/>
        </w:rPr>
        <w:t xml:space="preserve"> – 2012</w:t>
      </w:r>
      <w:r w:rsidR="00AB3631" w:rsidRPr="009F1F7E">
        <w:rPr>
          <w:b/>
          <w:sz w:val="20"/>
          <w:szCs w:val="20"/>
        </w:rPr>
        <w:t xml:space="preserve"> vs. 2006</w:t>
      </w:r>
    </w:p>
    <w:p w:rsidR="000806D7" w:rsidRPr="009F1F7E" w:rsidRDefault="000806D7" w:rsidP="009F1F7E">
      <w:pPr>
        <w:spacing w:after="0" w:line="240" w:lineRule="auto"/>
        <w:ind w:left="2880" w:hanging="1440"/>
        <w:jc w:val="both"/>
        <w:rPr>
          <w:b/>
          <w:sz w:val="20"/>
          <w:szCs w:val="20"/>
        </w:rPr>
      </w:pPr>
    </w:p>
    <w:p w:rsidR="00D73425" w:rsidRPr="001A62CB" w:rsidRDefault="00E2727A" w:rsidP="003E4FC2">
      <w:pPr>
        <w:spacing w:after="0" w:line="240" w:lineRule="auto"/>
        <w:ind w:left="709"/>
        <w:jc w:val="both"/>
        <w:rPr>
          <w:sz w:val="24"/>
          <w:szCs w:val="24"/>
        </w:rPr>
      </w:pPr>
      <w:r>
        <w:rPr>
          <w:noProof/>
          <w:sz w:val="24"/>
          <w:szCs w:val="24"/>
          <w:lang w:val="en-US"/>
        </w:rPr>
        <w:drawing>
          <wp:inline distT="0" distB="0" distL="0" distR="0" wp14:anchorId="0737127E" wp14:editId="66CD3354">
            <wp:extent cx="5153025" cy="2514600"/>
            <wp:effectExtent l="0" t="0" r="0" b="0"/>
            <wp:docPr id="18" name="Objec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73425" w:rsidRPr="001A62CB" w:rsidRDefault="00D73425" w:rsidP="003E4FC2">
      <w:pPr>
        <w:spacing w:after="0" w:line="240" w:lineRule="auto"/>
        <w:jc w:val="both"/>
        <w:rPr>
          <w:sz w:val="24"/>
          <w:szCs w:val="24"/>
        </w:rPr>
      </w:pPr>
    </w:p>
    <w:p w:rsidR="0004086A" w:rsidRPr="001A62CB" w:rsidRDefault="009F1F7E" w:rsidP="003E4FC2">
      <w:pPr>
        <w:spacing w:after="0" w:line="240" w:lineRule="auto"/>
        <w:ind w:left="720"/>
        <w:jc w:val="both"/>
        <w:rPr>
          <w:sz w:val="24"/>
          <w:szCs w:val="24"/>
        </w:rPr>
      </w:pPr>
      <w:r>
        <w:rPr>
          <w:sz w:val="24"/>
          <w:szCs w:val="24"/>
        </w:rPr>
        <w:t>Twenty seven Member States responded to this question.</w:t>
      </w:r>
      <w:r w:rsidR="00EC3827">
        <w:rPr>
          <w:sz w:val="24"/>
          <w:szCs w:val="24"/>
        </w:rPr>
        <w:t xml:space="preserve"> </w:t>
      </w:r>
      <w:r w:rsidR="00AC6BAF">
        <w:rPr>
          <w:sz w:val="24"/>
          <w:szCs w:val="24"/>
        </w:rPr>
        <w:t xml:space="preserve">Thirteen </w:t>
      </w:r>
      <w:r w:rsidR="005A1CF8" w:rsidRPr="001A62CB">
        <w:rPr>
          <w:sz w:val="24"/>
          <w:szCs w:val="24"/>
        </w:rPr>
        <w:t xml:space="preserve">Member States </w:t>
      </w:r>
      <w:r w:rsidR="009D72C2" w:rsidRPr="001A62CB">
        <w:rPr>
          <w:sz w:val="24"/>
          <w:szCs w:val="24"/>
        </w:rPr>
        <w:t>(</w:t>
      </w:r>
      <w:r w:rsidR="009D72C2" w:rsidRPr="001A62CB">
        <w:rPr>
          <w:b/>
          <w:sz w:val="24"/>
          <w:szCs w:val="24"/>
        </w:rPr>
        <w:t xml:space="preserve">the Czech Republic, Estonia, Finland, France, Germany, </w:t>
      </w:r>
      <w:r w:rsidR="002602A1" w:rsidRPr="001A62CB">
        <w:rPr>
          <w:b/>
          <w:sz w:val="24"/>
          <w:szCs w:val="24"/>
        </w:rPr>
        <w:t xml:space="preserve">Ireland, </w:t>
      </w:r>
      <w:r w:rsidR="009D72C2" w:rsidRPr="001A62CB">
        <w:rPr>
          <w:b/>
          <w:sz w:val="24"/>
          <w:szCs w:val="24"/>
        </w:rPr>
        <w:t xml:space="preserve">Italy, </w:t>
      </w:r>
      <w:r w:rsidR="002848C3" w:rsidRPr="001A62CB">
        <w:rPr>
          <w:b/>
          <w:sz w:val="24"/>
          <w:szCs w:val="24"/>
        </w:rPr>
        <w:t xml:space="preserve">Malta, </w:t>
      </w:r>
      <w:r w:rsidR="009D72C2" w:rsidRPr="001A62CB">
        <w:rPr>
          <w:b/>
          <w:sz w:val="24"/>
          <w:szCs w:val="24"/>
        </w:rPr>
        <w:t>Poland, Portugal, Romania, Slovenia and the Netherlands</w:t>
      </w:r>
      <w:r w:rsidR="009D72C2" w:rsidRPr="001A62CB">
        <w:rPr>
          <w:sz w:val="24"/>
          <w:szCs w:val="24"/>
        </w:rPr>
        <w:t xml:space="preserve">) </w:t>
      </w:r>
      <w:r w:rsidR="00653D0E" w:rsidRPr="001A62CB">
        <w:rPr>
          <w:sz w:val="24"/>
          <w:szCs w:val="24"/>
        </w:rPr>
        <w:t>report</w:t>
      </w:r>
      <w:r w:rsidR="00794A8E" w:rsidRPr="001A62CB">
        <w:rPr>
          <w:sz w:val="24"/>
          <w:szCs w:val="24"/>
        </w:rPr>
        <w:t xml:space="preserve">ed that there had been changes in relation </w:t>
      </w:r>
      <w:r w:rsidR="009860F4" w:rsidRPr="001A62CB">
        <w:rPr>
          <w:sz w:val="24"/>
          <w:szCs w:val="24"/>
        </w:rPr>
        <w:t xml:space="preserve">to the </w:t>
      </w:r>
      <w:r w:rsidR="00794A8E" w:rsidRPr="001A62CB">
        <w:rPr>
          <w:sz w:val="24"/>
          <w:szCs w:val="24"/>
        </w:rPr>
        <w:t>recruitment and selection to the Senior Public Service.</w:t>
      </w:r>
      <w:r w:rsidR="00157FA8" w:rsidRPr="001A62CB">
        <w:rPr>
          <w:sz w:val="24"/>
          <w:szCs w:val="24"/>
        </w:rPr>
        <w:t xml:space="preserve">  </w:t>
      </w:r>
      <w:r w:rsidR="00653D0E" w:rsidRPr="001A62CB">
        <w:rPr>
          <w:sz w:val="24"/>
          <w:szCs w:val="24"/>
        </w:rPr>
        <w:t>Many of these changes relate to the regularisation/standard</w:t>
      </w:r>
      <w:r w:rsidR="0004086A" w:rsidRPr="001A62CB">
        <w:rPr>
          <w:sz w:val="24"/>
          <w:szCs w:val="24"/>
        </w:rPr>
        <w:t>isation of selection procedures:</w:t>
      </w:r>
      <w:r w:rsidR="00653D0E" w:rsidRPr="001A62CB">
        <w:rPr>
          <w:sz w:val="24"/>
          <w:szCs w:val="24"/>
        </w:rPr>
        <w:t xml:space="preserve">  </w:t>
      </w:r>
    </w:p>
    <w:p w:rsidR="0004086A" w:rsidRPr="001A62CB" w:rsidRDefault="0004086A" w:rsidP="003E4FC2">
      <w:pPr>
        <w:spacing w:after="0" w:line="240" w:lineRule="auto"/>
        <w:ind w:left="720"/>
        <w:jc w:val="both"/>
        <w:rPr>
          <w:sz w:val="24"/>
          <w:szCs w:val="24"/>
        </w:rPr>
      </w:pPr>
    </w:p>
    <w:p w:rsidR="0004086A" w:rsidRDefault="00653D0E" w:rsidP="0056609E">
      <w:pPr>
        <w:pStyle w:val="ListParagraph"/>
        <w:spacing w:after="0" w:line="240" w:lineRule="auto"/>
        <w:ind w:left="1440"/>
        <w:jc w:val="both"/>
        <w:rPr>
          <w:sz w:val="24"/>
          <w:szCs w:val="24"/>
        </w:rPr>
      </w:pPr>
      <w:r w:rsidRPr="001A62CB">
        <w:rPr>
          <w:sz w:val="24"/>
          <w:szCs w:val="24"/>
        </w:rPr>
        <w:t xml:space="preserve">Some Member States, </w:t>
      </w:r>
      <w:r w:rsidR="009860F4" w:rsidRPr="001A62CB">
        <w:rPr>
          <w:sz w:val="24"/>
          <w:szCs w:val="24"/>
        </w:rPr>
        <w:t>including</w:t>
      </w:r>
      <w:r w:rsidRPr="001A62CB">
        <w:rPr>
          <w:sz w:val="24"/>
          <w:szCs w:val="24"/>
        </w:rPr>
        <w:t xml:space="preserve"> </w:t>
      </w:r>
      <w:r w:rsidRPr="006F6242">
        <w:rPr>
          <w:b/>
          <w:sz w:val="24"/>
          <w:szCs w:val="24"/>
        </w:rPr>
        <w:t>France,</w:t>
      </w:r>
      <w:r w:rsidR="009860F4" w:rsidRPr="001A62CB">
        <w:rPr>
          <w:sz w:val="24"/>
          <w:szCs w:val="24"/>
        </w:rPr>
        <w:t xml:space="preserve"> </w:t>
      </w:r>
      <w:r w:rsidR="0056609E" w:rsidRPr="001A62CB">
        <w:rPr>
          <w:sz w:val="24"/>
          <w:szCs w:val="24"/>
        </w:rPr>
        <w:t xml:space="preserve">reported </w:t>
      </w:r>
      <w:r w:rsidR="0056609E">
        <w:rPr>
          <w:sz w:val="24"/>
          <w:szCs w:val="24"/>
        </w:rPr>
        <w:t>on</w:t>
      </w:r>
      <w:r w:rsidR="004B058D">
        <w:rPr>
          <w:sz w:val="24"/>
          <w:szCs w:val="24"/>
        </w:rPr>
        <w:t xml:space="preserve"> a review of the </w:t>
      </w:r>
      <w:r w:rsidRPr="001A62CB">
        <w:rPr>
          <w:sz w:val="24"/>
          <w:szCs w:val="24"/>
        </w:rPr>
        <w:t>professional knowledge and/or experience required for entry into the Senior Public Service</w:t>
      </w:r>
      <w:r w:rsidR="004B058D">
        <w:rPr>
          <w:sz w:val="24"/>
          <w:szCs w:val="24"/>
        </w:rPr>
        <w:t>.</w:t>
      </w:r>
    </w:p>
    <w:p w:rsidR="0056609E" w:rsidRPr="001A62CB" w:rsidRDefault="0056609E" w:rsidP="0056609E">
      <w:pPr>
        <w:pStyle w:val="ListParagraph"/>
        <w:spacing w:after="0" w:line="240" w:lineRule="auto"/>
        <w:ind w:left="1440"/>
        <w:jc w:val="both"/>
        <w:rPr>
          <w:sz w:val="24"/>
          <w:szCs w:val="24"/>
        </w:rPr>
      </w:pPr>
    </w:p>
    <w:p w:rsidR="0004086A" w:rsidRDefault="004C647B" w:rsidP="0056609E">
      <w:pPr>
        <w:pStyle w:val="ListParagraph"/>
        <w:spacing w:after="0" w:line="240" w:lineRule="auto"/>
        <w:ind w:left="1440"/>
        <w:jc w:val="both"/>
        <w:rPr>
          <w:sz w:val="24"/>
          <w:szCs w:val="24"/>
        </w:rPr>
      </w:pPr>
      <w:r w:rsidRPr="001A62CB">
        <w:rPr>
          <w:sz w:val="24"/>
          <w:szCs w:val="24"/>
        </w:rPr>
        <w:t xml:space="preserve">In </w:t>
      </w:r>
      <w:r w:rsidRPr="006F6242">
        <w:rPr>
          <w:b/>
          <w:sz w:val="24"/>
          <w:szCs w:val="24"/>
        </w:rPr>
        <w:t>Ireland</w:t>
      </w:r>
      <w:r w:rsidRPr="001A62CB">
        <w:rPr>
          <w:sz w:val="24"/>
          <w:szCs w:val="24"/>
        </w:rPr>
        <w:t xml:space="preserve">, there have been a number of </w:t>
      </w:r>
      <w:r w:rsidR="00790799" w:rsidRPr="001A62CB">
        <w:rPr>
          <w:sz w:val="24"/>
          <w:szCs w:val="24"/>
        </w:rPr>
        <w:t>initiatives</w:t>
      </w:r>
      <w:r w:rsidR="002C6340" w:rsidRPr="001A62CB">
        <w:rPr>
          <w:sz w:val="24"/>
          <w:szCs w:val="24"/>
        </w:rPr>
        <w:t xml:space="preserve">, </w:t>
      </w:r>
      <w:r w:rsidRPr="001A62CB">
        <w:rPr>
          <w:sz w:val="24"/>
          <w:szCs w:val="24"/>
        </w:rPr>
        <w:t xml:space="preserve">including the establishment of a pilot </w:t>
      </w:r>
      <w:r w:rsidR="002C6340" w:rsidRPr="001A62CB">
        <w:rPr>
          <w:sz w:val="24"/>
          <w:szCs w:val="24"/>
        </w:rPr>
        <w:t xml:space="preserve">executive </w:t>
      </w:r>
      <w:r w:rsidRPr="001A62CB">
        <w:rPr>
          <w:sz w:val="24"/>
          <w:szCs w:val="24"/>
        </w:rPr>
        <w:t>coaching programme</w:t>
      </w:r>
      <w:r w:rsidR="002C6340" w:rsidRPr="001A62CB">
        <w:rPr>
          <w:sz w:val="24"/>
          <w:szCs w:val="24"/>
        </w:rPr>
        <w:t xml:space="preserve"> and a mobility subgroup of the Senior Public Service </w:t>
      </w:r>
      <w:r w:rsidR="004B058D">
        <w:rPr>
          <w:sz w:val="24"/>
          <w:szCs w:val="24"/>
        </w:rPr>
        <w:t>M</w:t>
      </w:r>
      <w:r w:rsidR="002C6340" w:rsidRPr="001A62CB">
        <w:rPr>
          <w:sz w:val="24"/>
          <w:szCs w:val="24"/>
        </w:rPr>
        <w:t xml:space="preserve">anagement </w:t>
      </w:r>
      <w:r w:rsidR="004B058D">
        <w:rPr>
          <w:sz w:val="24"/>
          <w:szCs w:val="24"/>
        </w:rPr>
        <w:t>C</w:t>
      </w:r>
      <w:r w:rsidR="002C6340" w:rsidRPr="001A62CB">
        <w:rPr>
          <w:sz w:val="24"/>
          <w:szCs w:val="24"/>
        </w:rPr>
        <w:t>ommittee</w:t>
      </w:r>
      <w:r w:rsidR="00790799" w:rsidRPr="001A62CB">
        <w:rPr>
          <w:sz w:val="24"/>
          <w:szCs w:val="24"/>
        </w:rPr>
        <w:t xml:space="preserve"> to promote mobility across the public service.</w:t>
      </w:r>
      <w:r w:rsidR="00597329">
        <w:rPr>
          <w:sz w:val="24"/>
          <w:szCs w:val="24"/>
        </w:rPr>
        <w:t xml:space="preserve"> Since 2007, all Assistant Secretary (Deputy DG) </w:t>
      </w:r>
      <w:r w:rsidR="009F1F7E">
        <w:rPr>
          <w:sz w:val="24"/>
          <w:szCs w:val="24"/>
        </w:rPr>
        <w:t>posts are</w:t>
      </w:r>
      <w:r w:rsidR="00EC3827">
        <w:rPr>
          <w:sz w:val="24"/>
          <w:szCs w:val="24"/>
        </w:rPr>
        <w:t xml:space="preserve"> </w:t>
      </w:r>
      <w:r w:rsidR="00597329">
        <w:rPr>
          <w:sz w:val="24"/>
          <w:szCs w:val="24"/>
        </w:rPr>
        <w:t xml:space="preserve">advertised by way of open competition. Since 2011, all Secretary General (DG) </w:t>
      </w:r>
      <w:r w:rsidR="009F1F7E">
        <w:rPr>
          <w:sz w:val="24"/>
          <w:szCs w:val="24"/>
        </w:rPr>
        <w:t>posts are</w:t>
      </w:r>
      <w:r w:rsidR="00EC3827">
        <w:rPr>
          <w:sz w:val="24"/>
          <w:szCs w:val="24"/>
        </w:rPr>
        <w:t xml:space="preserve"> </w:t>
      </w:r>
      <w:r w:rsidR="0077203D">
        <w:rPr>
          <w:sz w:val="24"/>
          <w:szCs w:val="24"/>
        </w:rPr>
        <w:t>advertised openly</w:t>
      </w:r>
      <w:r w:rsidR="00597329">
        <w:rPr>
          <w:sz w:val="24"/>
          <w:szCs w:val="24"/>
        </w:rPr>
        <w:t xml:space="preserve">. </w:t>
      </w:r>
    </w:p>
    <w:p w:rsidR="0056609E" w:rsidRPr="001A62CB" w:rsidRDefault="0056609E" w:rsidP="0056609E">
      <w:pPr>
        <w:pStyle w:val="ListParagraph"/>
        <w:spacing w:after="0" w:line="240" w:lineRule="auto"/>
        <w:ind w:left="1440"/>
        <w:jc w:val="both"/>
        <w:rPr>
          <w:sz w:val="24"/>
          <w:szCs w:val="24"/>
        </w:rPr>
      </w:pPr>
    </w:p>
    <w:p w:rsidR="002848C3" w:rsidRDefault="002848C3" w:rsidP="0056609E">
      <w:pPr>
        <w:pStyle w:val="ListParagraph"/>
        <w:spacing w:after="0" w:line="240" w:lineRule="auto"/>
        <w:ind w:left="1440"/>
        <w:jc w:val="both"/>
        <w:rPr>
          <w:sz w:val="24"/>
          <w:szCs w:val="24"/>
        </w:rPr>
      </w:pPr>
      <w:r w:rsidRPr="001A62CB">
        <w:rPr>
          <w:sz w:val="24"/>
          <w:szCs w:val="24"/>
        </w:rPr>
        <w:t xml:space="preserve">In </w:t>
      </w:r>
      <w:r w:rsidRPr="006F6242">
        <w:rPr>
          <w:b/>
          <w:sz w:val="24"/>
          <w:szCs w:val="24"/>
        </w:rPr>
        <w:t>Malta</w:t>
      </w:r>
      <w:r w:rsidRPr="001A62CB">
        <w:rPr>
          <w:sz w:val="24"/>
          <w:szCs w:val="24"/>
        </w:rPr>
        <w:t xml:space="preserve">, </w:t>
      </w:r>
      <w:r w:rsidR="004B058D">
        <w:rPr>
          <w:sz w:val="24"/>
          <w:szCs w:val="24"/>
        </w:rPr>
        <w:t>t</w:t>
      </w:r>
      <w:r w:rsidRPr="001A62CB">
        <w:rPr>
          <w:sz w:val="24"/>
          <w:szCs w:val="24"/>
        </w:rPr>
        <w:t>here is an increased focus on the core competencies for the position; applications may now be submitted by electronic means and candidates must sit a psychometric test followed by an interview with the Senior Appointments Advisory Committee.</w:t>
      </w:r>
    </w:p>
    <w:p w:rsidR="0056609E" w:rsidRPr="001A62CB" w:rsidRDefault="0056609E" w:rsidP="0056609E">
      <w:pPr>
        <w:pStyle w:val="ListParagraph"/>
        <w:spacing w:after="0" w:line="240" w:lineRule="auto"/>
        <w:ind w:left="1440"/>
        <w:jc w:val="both"/>
        <w:rPr>
          <w:sz w:val="24"/>
          <w:szCs w:val="24"/>
        </w:rPr>
      </w:pPr>
    </w:p>
    <w:p w:rsidR="00D469BF" w:rsidRDefault="00D469BF" w:rsidP="0056609E">
      <w:pPr>
        <w:pStyle w:val="ListParagraph"/>
        <w:spacing w:after="0" w:line="240" w:lineRule="auto"/>
        <w:ind w:left="1440"/>
        <w:jc w:val="both"/>
        <w:rPr>
          <w:sz w:val="24"/>
          <w:szCs w:val="24"/>
        </w:rPr>
      </w:pPr>
      <w:r>
        <w:rPr>
          <w:sz w:val="24"/>
          <w:szCs w:val="24"/>
        </w:rPr>
        <w:t xml:space="preserve">In </w:t>
      </w:r>
      <w:r w:rsidRPr="006F6242">
        <w:rPr>
          <w:b/>
          <w:sz w:val="24"/>
          <w:szCs w:val="24"/>
        </w:rPr>
        <w:t>Italy</w:t>
      </w:r>
      <w:r>
        <w:rPr>
          <w:sz w:val="24"/>
          <w:szCs w:val="24"/>
        </w:rPr>
        <w:t xml:space="preserve">, </w:t>
      </w:r>
      <w:r w:rsidRPr="006F6242">
        <w:rPr>
          <w:i/>
          <w:sz w:val="24"/>
          <w:szCs w:val="24"/>
        </w:rPr>
        <w:t>Reform decree n</w:t>
      </w:r>
      <w:r w:rsidRPr="00980EE6">
        <w:rPr>
          <w:rFonts w:cs="Calibri"/>
          <w:i/>
          <w:sz w:val="24"/>
          <w:szCs w:val="24"/>
        </w:rPr>
        <w:t>◦</w:t>
      </w:r>
      <w:r w:rsidRPr="006F6242">
        <w:rPr>
          <w:i/>
          <w:sz w:val="24"/>
          <w:szCs w:val="24"/>
        </w:rPr>
        <w:t xml:space="preserve"> 150</w:t>
      </w:r>
      <w:r>
        <w:rPr>
          <w:sz w:val="24"/>
          <w:szCs w:val="24"/>
        </w:rPr>
        <w:t xml:space="preserve"> sets </w:t>
      </w:r>
      <w:r w:rsidR="00AC6BAF">
        <w:rPr>
          <w:sz w:val="24"/>
          <w:szCs w:val="24"/>
        </w:rPr>
        <w:t xml:space="preserve">out a </w:t>
      </w:r>
      <w:r>
        <w:rPr>
          <w:sz w:val="24"/>
          <w:szCs w:val="24"/>
        </w:rPr>
        <w:t>new format for the appointment and recruitment of managers and senior</w:t>
      </w:r>
      <w:r w:rsidR="005E0999">
        <w:rPr>
          <w:sz w:val="24"/>
          <w:szCs w:val="24"/>
        </w:rPr>
        <w:t xml:space="preserve"> managers in the public service. </w:t>
      </w:r>
    </w:p>
    <w:p w:rsidR="005E0999" w:rsidRDefault="005E0999" w:rsidP="0056609E">
      <w:pPr>
        <w:pStyle w:val="ListParagraph"/>
        <w:spacing w:after="0" w:line="240" w:lineRule="auto"/>
        <w:ind w:left="1440"/>
        <w:jc w:val="both"/>
        <w:rPr>
          <w:sz w:val="24"/>
          <w:szCs w:val="24"/>
        </w:rPr>
      </w:pPr>
    </w:p>
    <w:p w:rsidR="005E0999" w:rsidRPr="001A62CB" w:rsidRDefault="005E0999" w:rsidP="0056609E">
      <w:pPr>
        <w:pStyle w:val="ListParagraph"/>
        <w:spacing w:after="0" w:line="240" w:lineRule="auto"/>
        <w:ind w:left="1440"/>
        <w:jc w:val="both"/>
        <w:rPr>
          <w:sz w:val="24"/>
          <w:szCs w:val="24"/>
        </w:rPr>
      </w:pPr>
      <w:r w:rsidRPr="00980EE6">
        <w:rPr>
          <w:rFonts w:cs="Calibri"/>
          <w:b/>
          <w:sz w:val="24"/>
          <w:szCs w:val="24"/>
        </w:rPr>
        <w:t>Lithuania</w:t>
      </w:r>
      <w:r w:rsidRPr="00980EE6">
        <w:rPr>
          <w:rFonts w:cs="Calibri"/>
          <w:sz w:val="24"/>
          <w:szCs w:val="24"/>
        </w:rPr>
        <w:t xml:space="preserve"> </w:t>
      </w:r>
      <w:r w:rsidRPr="00980EE6">
        <w:rPr>
          <w:rFonts w:cs="Calibri"/>
          <w:sz w:val="24"/>
          <w:szCs w:val="24"/>
          <w:lang w:val="en-US"/>
        </w:rPr>
        <w:t xml:space="preserve">is also reforming the selection of senior civil servants </w:t>
      </w:r>
      <w:r w:rsidR="00EF519D">
        <w:rPr>
          <w:rFonts w:cs="Calibri"/>
          <w:sz w:val="24"/>
          <w:szCs w:val="24"/>
          <w:lang w:val="en-US"/>
        </w:rPr>
        <w:t>by</w:t>
      </w:r>
      <w:r w:rsidRPr="00980EE6">
        <w:rPr>
          <w:rFonts w:cs="Calibri"/>
          <w:sz w:val="24"/>
          <w:szCs w:val="24"/>
          <w:lang w:val="en-US"/>
        </w:rPr>
        <w:t xml:space="preserve"> establishing new qualification requirements and </w:t>
      </w:r>
      <w:r w:rsidR="00EF519D">
        <w:rPr>
          <w:rFonts w:cs="Calibri"/>
          <w:sz w:val="24"/>
          <w:szCs w:val="24"/>
          <w:lang w:val="en-US"/>
        </w:rPr>
        <w:t xml:space="preserve">a </w:t>
      </w:r>
      <w:r w:rsidRPr="00980EE6">
        <w:rPr>
          <w:rFonts w:cs="Calibri"/>
          <w:sz w:val="24"/>
          <w:szCs w:val="24"/>
          <w:lang w:val="en-US"/>
        </w:rPr>
        <w:t xml:space="preserve">more focused examination of </w:t>
      </w:r>
      <w:proofErr w:type="gramStart"/>
      <w:r w:rsidRPr="00980EE6">
        <w:rPr>
          <w:rFonts w:cs="Calibri"/>
          <w:sz w:val="24"/>
          <w:szCs w:val="24"/>
          <w:lang w:val="en-US"/>
        </w:rPr>
        <w:t xml:space="preserve">candidates </w:t>
      </w:r>
      <w:r w:rsidR="00EF519D">
        <w:rPr>
          <w:rFonts w:cs="Calibri"/>
          <w:sz w:val="24"/>
          <w:szCs w:val="24"/>
          <w:lang w:val="en-US"/>
        </w:rPr>
        <w:t xml:space="preserve"> for</w:t>
      </w:r>
      <w:proofErr w:type="gramEnd"/>
      <w:r w:rsidR="00EF519D">
        <w:rPr>
          <w:rFonts w:cs="Calibri"/>
          <w:sz w:val="24"/>
          <w:szCs w:val="24"/>
          <w:lang w:val="en-US"/>
        </w:rPr>
        <w:t xml:space="preserve"> </w:t>
      </w:r>
      <w:r w:rsidRPr="00980EE6">
        <w:rPr>
          <w:rFonts w:cs="Calibri"/>
          <w:sz w:val="24"/>
          <w:szCs w:val="24"/>
          <w:lang w:val="en-US"/>
        </w:rPr>
        <w:t>senior civil servant</w:t>
      </w:r>
      <w:r w:rsidR="00EF519D">
        <w:rPr>
          <w:rFonts w:cs="Calibri"/>
          <w:sz w:val="24"/>
          <w:szCs w:val="24"/>
          <w:lang w:val="en-US"/>
        </w:rPr>
        <w:t xml:space="preserve"> positions</w:t>
      </w:r>
      <w:r w:rsidRPr="00980EE6">
        <w:rPr>
          <w:rFonts w:cs="Calibri"/>
          <w:sz w:val="24"/>
          <w:szCs w:val="24"/>
          <w:lang w:val="en-US"/>
        </w:rPr>
        <w:t>.</w:t>
      </w:r>
    </w:p>
    <w:p w:rsidR="002F4F99" w:rsidRPr="00EC3827" w:rsidRDefault="002F4F99">
      <w:pPr>
        <w:spacing w:after="0" w:line="240" w:lineRule="auto"/>
        <w:rPr>
          <w:rFonts w:cs="Calibri"/>
          <w:sz w:val="24"/>
          <w:szCs w:val="24"/>
        </w:rPr>
      </w:pPr>
      <w:r>
        <w:rPr>
          <w:sz w:val="24"/>
          <w:szCs w:val="24"/>
        </w:rPr>
        <w:br w:type="page"/>
      </w:r>
    </w:p>
    <w:p w:rsidR="002F4F99" w:rsidRPr="008E5B64" w:rsidRDefault="002F4F99" w:rsidP="002F4F99">
      <w:pPr>
        <w:pStyle w:val="ListParagraph"/>
        <w:numPr>
          <w:ilvl w:val="0"/>
          <w:numId w:val="7"/>
        </w:numPr>
        <w:spacing w:after="0" w:line="240" w:lineRule="auto"/>
        <w:rPr>
          <w:rFonts w:cs="Calibri"/>
          <w:b/>
        </w:rPr>
      </w:pPr>
      <w:r w:rsidRPr="008E5B64">
        <w:rPr>
          <w:rFonts w:cs="Calibri"/>
          <w:b/>
        </w:rPr>
        <w:lastRenderedPageBreak/>
        <w:t>Overview of Other Responses</w:t>
      </w:r>
    </w:p>
    <w:p w:rsidR="002F4F99" w:rsidRPr="00DB30F1" w:rsidRDefault="002F4F99" w:rsidP="002F4F99">
      <w:pPr>
        <w:spacing w:after="0" w:line="240" w:lineRule="auto"/>
        <w:rPr>
          <w:rFonts w:cs="Calibri"/>
        </w:rPr>
      </w:pPr>
    </w:p>
    <w:p w:rsidR="002F4F99" w:rsidRPr="008E5B64" w:rsidRDefault="002F4F99" w:rsidP="002F4F99">
      <w:pPr>
        <w:spacing w:after="0" w:line="240" w:lineRule="auto"/>
        <w:ind w:left="360"/>
        <w:rPr>
          <w:rFonts w:cs="Calibri"/>
        </w:rPr>
      </w:pPr>
      <w:r w:rsidRPr="00DB30F1">
        <w:rPr>
          <w:rFonts w:cs="Calibri"/>
        </w:rPr>
        <w:t xml:space="preserve">The following is an overview of the responses received from the </w:t>
      </w:r>
      <w:r w:rsidRPr="00DB30F1">
        <w:rPr>
          <w:rFonts w:cs="Calibri"/>
          <w:b/>
        </w:rPr>
        <w:t>EU Commission, Croatia, Montenegro, Norway and Switzerland.</w:t>
      </w:r>
      <w:r w:rsidRPr="00EC3827">
        <w:rPr>
          <w:rFonts w:cs="Calibri"/>
        </w:rPr>
        <w:t xml:space="preserve">  As these were not represented in the 2006 Survey, no comparative data is available. Instead, the </w:t>
      </w:r>
      <w:r w:rsidRPr="008E5B64">
        <w:rPr>
          <w:rFonts w:cs="Calibri"/>
        </w:rPr>
        <w:t>focus here is on HR Reforms since 2009.</w:t>
      </w:r>
    </w:p>
    <w:p w:rsidR="002F4F99" w:rsidRPr="00DB30F1" w:rsidRDefault="002F4F99" w:rsidP="002F4F99">
      <w:pPr>
        <w:spacing w:after="0" w:line="240" w:lineRule="auto"/>
        <w:rPr>
          <w:rFonts w:cs="Calibri"/>
        </w:rPr>
      </w:pPr>
    </w:p>
    <w:p w:rsidR="002F4F99" w:rsidRPr="00DB30F1" w:rsidRDefault="002F4F99" w:rsidP="002F4F99">
      <w:pPr>
        <w:pStyle w:val="ListParagraph"/>
        <w:numPr>
          <w:ilvl w:val="0"/>
          <w:numId w:val="8"/>
        </w:numPr>
        <w:spacing w:after="0" w:line="240" w:lineRule="auto"/>
        <w:rPr>
          <w:rFonts w:cs="Calibri"/>
          <w:b/>
        </w:rPr>
      </w:pPr>
      <w:r w:rsidRPr="00DB30F1">
        <w:rPr>
          <w:rFonts w:cs="Calibri"/>
          <w:b/>
        </w:rPr>
        <w:t xml:space="preserve">EU Commission </w:t>
      </w:r>
    </w:p>
    <w:p w:rsidR="002F4F99" w:rsidRPr="00DB30F1" w:rsidRDefault="002F4F99" w:rsidP="002F4F99">
      <w:pPr>
        <w:spacing w:after="0" w:line="240" w:lineRule="auto"/>
        <w:rPr>
          <w:rFonts w:cs="Calibri"/>
        </w:rPr>
      </w:pPr>
    </w:p>
    <w:p w:rsidR="002F4F99" w:rsidRPr="00EC3827" w:rsidRDefault="002F4F99" w:rsidP="002F4F99">
      <w:pPr>
        <w:spacing w:after="0" w:line="240" w:lineRule="auto"/>
        <w:ind w:left="720"/>
        <w:rPr>
          <w:rFonts w:cs="Calibri"/>
        </w:rPr>
      </w:pPr>
      <w:r w:rsidRPr="00DB30F1">
        <w:rPr>
          <w:rFonts w:cs="Calibri"/>
        </w:rPr>
        <w:t xml:space="preserve">The EU Commission reported that there had been a number of HR reforms since 2009.  Regarding </w:t>
      </w:r>
      <w:r w:rsidRPr="00DB30F1">
        <w:rPr>
          <w:rFonts w:cs="Calibri"/>
          <w:b/>
        </w:rPr>
        <w:t>family friendly policies</w:t>
      </w:r>
      <w:r w:rsidRPr="00EC3827">
        <w:rPr>
          <w:rFonts w:cs="Calibri"/>
        </w:rPr>
        <w:t>, the Commission indicated that:</w:t>
      </w:r>
    </w:p>
    <w:p w:rsidR="002F4F99" w:rsidRPr="008E5B64" w:rsidRDefault="002F4F99" w:rsidP="002F4F99">
      <w:pPr>
        <w:spacing w:after="0" w:line="240" w:lineRule="auto"/>
        <w:ind w:left="720"/>
        <w:rPr>
          <w:rFonts w:cs="Calibri"/>
        </w:rPr>
      </w:pPr>
    </w:p>
    <w:p w:rsidR="002F4F99" w:rsidRPr="00DB30F1" w:rsidRDefault="002F4F99" w:rsidP="002F4F99">
      <w:pPr>
        <w:pStyle w:val="ListParagraph"/>
        <w:numPr>
          <w:ilvl w:val="0"/>
          <w:numId w:val="9"/>
        </w:numPr>
        <w:spacing w:after="0" w:line="240" w:lineRule="auto"/>
        <w:rPr>
          <w:rFonts w:cs="Calibri"/>
        </w:rPr>
      </w:pPr>
      <w:r w:rsidRPr="00DB30F1">
        <w:rPr>
          <w:rFonts w:cs="Calibri"/>
        </w:rPr>
        <w:t>A Decision on Telework has been adopted which encourages the use of structural telework, fixes a target of 3,000 teleworkers by 2014 and offers the possibility of up to 30 days occasional telework per year; and</w:t>
      </w:r>
    </w:p>
    <w:p w:rsidR="002F4F99" w:rsidRPr="00DB30F1" w:rsidRDefault="002F4F99" w:rsidP="002F4F99">
      <w:pPr>
        <w:pStyle w:val="ListParagraph"/>
        <w:numPr>
          <w:ilvl w:val="0"/>
          <w:numId w:val="9"/>
        </w:numPr>
        <w:spacing w:after="0" w:line="240" w:lineRule="auto"/>
        <w:rPr>
          <w:rFonts w:cs="Calibri"/>
        </w:rPr>
      </w:pPr>
      <w:r w:rsidRPr="00DB30F1">
        <w:rPr>
          <w:rFonts w:cs="Calibri"/>
        </w:rPr>
        <w:t>Two new arrangements have been added to the existing five arrangements for part-time work.</w:t>
      </w:r>
    </w:p>
    <w:p w:rsidR="002F4F99" w:rsidRPr="00DB30F1" w:rsidRDefault="002F4F99" w:rsidP="002F4F99">
      <w:pPr>
        <w:spacing w:after="0" w:line="240" w:lineRule="auto"/>
        <w:ind w:left="720"/>
        <w:rPr>
          <w:rFonts w:cs="Calibri"/>
        </w:rPr>
      </w:pPr>
    </w:p>
    <w:p w:rsidR="002F4F99" w:rsidRPr="00EC3827" w:rsidRDefault="002F4F99" w:rsidP="002F4F99">
      <w:pPr>
        <w:spacing w:after="0" w:line="240" w:lineRule="auto"/>
        <w:ind w:left="720"/>
        <w:rPr>
          <w:rFonts w:cs="Calibri"/>
        </w:rPr>
      </w:pPr>
      <w:r w:rsidRPr="00DB30F1">
        <w:rPr>
          <w:rFonts w:cs="Calibri"/>
        </w:rPr>
        <w:t xml:space="preserve">Regarding </w:t>
      </w:r>
      <w:r w:rsidRPr="00DB30F1">
        <w:rPr>
          <w:rFonts w:cs="Calibri"/>
          <w:b/>
        </w:rPr>
        <w:t xml:space="preserve">methods of recruitment and selection to the </w:t>
      </w:r>
      <w:r w:rsidR="00EC3827" w:rsidRPr="00DB30F1">
        <w:rPr>
          <w:rFonts w:cs="Calibri"/>
          <w:b/>
        </w:rPr>
        <w:t>C</w:t>
      </w:r>
      <w:r w:rsidRPr="00DB30F1">
        <w:rPr>
          <w:rFonts w:cs="Calibri"/>
          <w:b/>
        </w:rPr>
        <w:t xml:space="preserve">ivil </w:t>
      </w:r>
      <w:r w:rsidR="00EC3827" w:rsidRPr="00DB30F1">
        <w:rPr>
          <w:rFonts w:cs="Calibri"/>
          <w:b/>
        </w:rPr>
        <w:t>S</w:t>
      </w:r>
      <w:r w:rsidRPr="00DB30F1">
        <w:rPr>
          <w:rFonts w:cs="Calibri"/>
          <w:b/>
        </w:rPr>
        <w:t>ervice,</w:t>
      </w:r>
      <w:r w:rsidRPr="00EC3827">
        <w:rPr>
          <w:rFonts w:cs="Calibri"/>
        </w:rPr>
        <w:t xml:space="preserve"> the Commission indicated that:</w:t>
      </w:r>
    </w:p>
    <w:p w:rsidR="002F4F99" w:rsidRPr="008E5B64" w:rsidRDefault="002F4F99" w:rsidP="002F4F99">
      <w:pPr>
        <w:spacing w:after="0" w:line="240" w:lineRule="auto"/>
        <w:ind w:left="720"/>
        <w:rPr>
          <w:rFonts w:cs="Calibri"/>
        </w:rPr>
      </w:pPr>
    </w:p>
    <w:p w:rsidR="002F4F99" w:rsidRPr="00DB30F1" w:rsidRDefault="002F4F99" w:rsidP="002F4F99">
      <w:pPr>
        <w:pStyle w:val="ListParagraph"/>
        <w:numPr>
          <w:ilvl w:val="0"/>
          <w:numId w:val="10"/>
        </w:numPr>
        <w:spacing w:after="0" w:line="240" w:lineRule="auto"/>
        <w:rPr>
          <w:rFonts w:cs="Calibri"/>
        </w:rPr>
      </w:pPr>
      <w:r w:rsidRPr="00DB30F1">
        <w:rPr>
          <w:rFonts w:cs="Calibri"/>
        </w:rPr>
        <w:t>Selection methods were revised so that selection is now by means of a competency-based rather than knowledge-based assessment;</w:t>
      </w:r>
    </w:p>
    <w:p w:rsidR="002F4F99" w:rsidRPr="00DB30F1" w:rsidRDefault="002F4F99" w:rsidP="002F4F99">
      <w:pPr>
        <w:pStyle w:val="ListParagraph"/>
        <w:numPr>
          <w:ilvl w:val="0"/>
          <w:numId w:val="10"/>
        </w:numPr>
        <w:spacing w:after="0" w:line="240" w:lineRule="auto"/>
        <w:rPr>
          <w:rFonts w:cs="Calibri"/>
        </w:rPr>
      </w:pPr>
      <w:r w:rsidRPr="00DB30F1">
        <w:rPr>
          <w:rFonts w:cs="Calibri"/>
        </w:rPr>
        <w:t>In the period 2008-2010, the European Personnel Selection Office (EPSO) introduced measures to modernise the analysis and planning of staffing needs and the organisation of generalist competitions; and</w:t>
      </w:r>
    </w:p>
    <w:p w:rsidR="002F4F99" w:rsidRPr="00DB30F1" w:rsidRDefault="002F4F99" w:rsidP="002F4F99">
      <w:pPr>
        <w:pStyle w:val="ListParagraph"/>
        <w:numPr>
          <w:ilvl w:val="0"/>
          <w:numId w:val="10"/>
        </w:numPr>
        <w:spacing w:after="0" w:line="240" w:lineRule="auto"/>
        <w:rPr>
          <w:rFonts w:cs="Calibri"/>
        </w:rPr>
      </w:pPr>
      <w:r w:rsidRPr="00DB30F1">
        <w:rPr>
          <w:rFonts w:cs="Calibri"/>
        </w:rPr>
        <w:t>The EPSO Development Programme, launched in 2008, provides for a number of measures to improve the speed of competitions and the quality of reserve lists.</w:t>
      </w:r>
    </w:p>
    <w:p w:rsidR="002F4F99" w:rsidRPr="00DB30F1" w:rsidRDefault="002F4F99" w:rsidP="002F4F99">
      <w:pPr>
        <w:spacing w:after="0" w:line="240" w:lineRule="auto"/>
        <w:rPr>
          <w:rFonts w:cs="Calibri"/>
        </w:rPr>
      </w:pPr>
    </w:p>
    <w:p w:rsidR="002F4F99" w:rsidRPr="00DB30F1" w:rsidRDefault="002F4F99" w:rsidP="002F4F99">
      <w:pPr>
        <w:pStyle w:val="ListParagraph"/>
        <w:numPr>
          <w:ilvl w:val="0"/>
          <w:numId w:val="8"/>
        </w:numPr>
        <w:spacing w:after="0" w:line="240" w:lineRule="auto"/>
        <w:rPr>
          <w:rFonts w:cs="Calibri"/>
          <w:b/>
        </w:rPr>
      </w:pPr>
      <w:r w:rsidRPr="00DB30F1">
        <w:rPr>
          <w:rFonts w:cs="Calibri"/>
          <w:b/>
        </w:rPr>
        <w:t>Croatia</w:t>
      </w:r>
    </w:p>
    <w:p w:rsidR="002F4F99" w:rsidRPr="00DB30F1" w:rsidRDefault="002F4F99" w:rsidP="002F4F99">
      <w:pPr>
        <w:spacing w:after="0" w:line="240" w:lineRule="auto"/>
        <w:rPr>
          <w:rFonts w:cs="Calibri"/>
        </w:rPr>
      </w:pPr>
    </w:p>
    <w:p w:rsidR="002F4F99" w:rsidRPr="00EC3827" w:rsidRDefault="002F4F99" w:rsidP="002F4F99">
      <w:pPr>
        <w:spacing w:after="0" w:line="240" w:lineRule="auto"/>
        <w:ind w:left="720"/>
        <w:rPr>
          <w:rFonts w:cs="Calibri"/>
        </w:rPr>
      </w:pPr>
      <w:r w:rsidRPr="00DB30F1">
        <w:rPr>
          <w:rFonts w:cs="Calibri"/>
        </w:rPr>
        <w:t xml:space="preserve">Croatia also reported that there had been a number of HR reforms since 2009.  Regarding the </w:t>
      </w:r>
      <w:r w:rsidRPr="00DB30F1">
        <w:rPr>
          <w:rFonts w:cs="Calibri"/>
          <w:b/>
        </w:rPr>
        <w:t>general terms and conditions of service,</w:t>
      </w:r>
      <w:r w:rsidRPr="00EC3827">
        <w:rPr>
          <w:rFonts w:cs="Calibri"/>
        </w:rPr>
        <w:t xml:space="preserve"> Croatia indicated that several statutes had been introduced which, amongst other matters:</w:t>
      </w:r>
    </w:p>
    <w:p w:rsidR="002F4F99" w:rsidRPr="008E5B64" w:rsidRDefault="002F4F99" w:rsidP="002F4F99">
      <w:pPr>
        <w:spacing w:after="0" w:line="240" w:lineRule="auto"/>
        <w:ind w:left="720"/>
        <w:rPr>
          <w:rFonts w:cs="Calibri"/>
        </w:rPr>
      </w:pPr>
    </w:p>
    <w:p w:rsidR="002F4F99" w:rsidRPr="00DB30F1" w:rsidRDefault="002F4F99" w:rsidP="002F4F99">
      <w:pPr>
        <w:pStyle w:val="ListParagraph"/>
        <w:numPr>
          <w:ilvl w:val="0"/>
          <w:numId w:val="11"/>
        </w:numPr>
        <w:spacing w:after="0" w:line="240" w:lineRule="auto"/>
        <w:rPr>
          <w:rFonts w:cs="Calibri"/>
        </w:rPr>
      </w:pPr>
      <w:r w:rsidRPr="00DB30F1">
        <w:rPr>
          <w:rFonts w:cs="Calibri"/>
        </w:rPr>
        <w:t>Improved the performance appraisal system;</w:t>
      </w:r>
    </w:p>
    <w:p w:rsidR="002F4F99" w:rsidRPr="00EC3827" w:rsidRDefault="002F4F99" w:rsidP="002F4F99">
      <w:pPr>
        <w:pStyle w:val="ListParagraph"/>
        <w:numPr>
          <w:ilvl w:val="0"/>
          <w:numId w:val="11"/>
        </w:numPr>
        <w:spacing w:after="0" w:line="240" w:lineRule="auto"/>
        <w:rPr>
          <w:rFonts w:cs="Calibri"/>
        </w:rPr>
      </w:pPr>
      <w:r w:rsidRPr="00DB30F1">
        <w:rPr>
          <w:rFonts w:cs="Calibri"/>
        </w:rPr>
        <w:t xml:space="preserve">Increased the mobility of </w:t>
      </w:r>
      <w:r w:rsidR="00EC3827">
        <w:rPr>
          <w:rFonts w:cs="Calibri"/>
        </w:rPr>
        <w:t>C</w:t>
      </w:r>
      <w:r w:rsidRPr="00EC3827">
        <w:rPr>
          <w:rFonts w:cs="Calibri"/>
        </w:rPr>
        <w:t xml:space="preserve">ivil </w:t>
      </w:r>
      <w:r w:rsidR="00EC3827">
        <w:rPr>
          <w:rFonts w:cs="Calibri"/>
        </w:rPr>
        <w:t>S</w:t>
      </w:r>
      <w:r w:rsidRPr="00EC3827">
        <w:rPr>
          <w:rFonts w:cs="Calibri"/>
        </w:rPr>
        <w:t>ervants;</w:t>
      </w:r>
    </w:p>
    <w:p w:rsidR="002F4F99" w:rsidRPr="00EC3827" w:rsidRDefault="002F4F99" w:rsidP="002F4F99">
      <w:pPr>
        <w:pStyle w:val="ListParagraph"/>
        <w:numPr>
          <w:ilvl w:val="0"/>
          <w:numId w:val="11"/>
        </w:numPr>
        <w:spacing w:after="0" w:line="240" w:lineRule="auto"/>
        <w:rPr>
          <w:rFonts w:cs="Calibri"/>
        </w:rPr>
      </w:pPr>
      <w:r w:rsidRPr="00EC3827">
        <w:rPr>
          <w:rFonts w:cs="Calibri"/>
        </w:rPr>
        <w:t xml:space="preserve">Strengthened the responsibility of </w:t>
      </w:r>
      <w:r w:rsidR="00EC3827">
        <w:rPr>
          <w:rFonts w:cs="Calibri"/>
        </w:rPr>
        <w:t>C</w:t>
      </w:r>
      <w:r w:rsidRPr="00EC3827">
        <w:rPr>
          <w:rFonts w:cs="Calibri"/>
        </w:rPr>
        <w:t xml:space="preserve">ivil </w:t>
      </w:r>
      <w:r w:rsidR="00EC3827">
        <w:rPr>
          <w:rFonts w:cs="Calibri"/>
        </w:rPr>
        <w:t>S</w:t>
      </w:r>
      <w:r w:rsidRPr="00EC3827">
        <w:rPr>
          <w:rFonts w:cs="Calibri"/>
        </w:rPr>
        <w:t>ervants; and</w:t>
      </w:r>
    </w:p>
    <w:p w:rsidR="002F4F99" w:rsidRPr="008E5B64" w:rsidRDefault="002F4F99" w:rsidP="002F4F99">
      <w:pPr>
        <w:pStyle w:val="ListParagraph"/>
        <w:numPr>
          <w:ilvl w:val="0"/>
          <w:numId w:val="11"/>
        </w:numPr>
        <w:spacing w:after="0" w:line="240" w:lineRule="auto"/>
        <w:rPr>
          <w:rFonts w:cs="Calibri"/>
        </w:rPr>
      </w:pPr>
      <w:r w:rsidRPr="008E5B64">
        <w:rPr>
          <w:rFonts w:cs="Calibri"/>
        </w:rPr>
        <w:t>Introduced the possibility of occupational training in state bodies without establishing an employment relationship.</w:t>
      </w:r>
    </w:p>
    <w:p w:rsidR="002F4F99" w:rsidRPr="00DB30F1" w:rsidRDefault="002F4F99" w:rsidP="002F4F99">
      <w:pPr>
        <w:spacing w:after="0" w:line="240" w:lineRule="auto"/>
        <w:rPr>
          <w:rFonts w:cs="Calibri"/>
        </w:rPr>
      </w:pPr>
    </w:p>
    <w:p w:rsidR="002F4F99" w:rsidRPr="00EC3827" w:rsidRDefault="002F4F99" w:rsidP="002F4F99">
      <w:pPr>
        <w:spacing w:after="0" w:line="240" w:lineRule="auto"/>
        <w:ind w:left="720"/>
        <w:rPr>
          <w:rFonts w:cs="Calibri"/>
        </w:rPr>
      </w:pPr>
      <w:r w:rsidRPr="00DB30F1">
        <w:rPr>
          <w:rFonts w:cs="Calibri"/>
        </w:rPr>
        <w:t xml:space="preserve">Regarding </w:t>
      </w:r>
      <w:r w:rsidRPr="00DB30F1">
        <w:rPr>
          <w:rFonts w:cs="Calibri"/>
          <w:b/>
        </w:rPr>
        <w:t>rates of pay,</w:t>
      </w:r>
      <w:r w:rsidRPr="00EC3827">
        <w:rPr>
          <w:rFonts w:cs="Calibri"/>
        </w:rPr>
        <w:t xml:space="preserve"> Croatia indicated that draft legislation, which seeks to introduce a unified salary system for </w:t>
      </w:r>
      <w:r w:rsidR="00EC3827">
        <w:rPr>
          <w:rFonts w:cs="Calibri"/>
        </w:rPr>
        <w:t>C</w:t>
      </w:r>
      <w:r w:rsidRPr="00EC3827">
        <w:rPr>
          <w:rFonts w:cs="Calibri"/>
        </w:rPr>
        <w:t xml:space="preserve">ivil </w:t>
      </w:r>
      <w:r w:rsidR="00EC3827">
        <w:rPr>
          <w:rFonts w:cs="Calibri"/>
        </w:rPr>
        <w:t>S</w:t>
      </w:r>
      <w:r w:rsidRPr="00EC3827">
        <w:rPr>
          <w:rFonts w:cs="Calibri"/>
        </w:rPr>
        <w:t xml:space="preserve">ervants based on job classification, is currently being considered by a Working Group comprising representatives of the Croatian Government and </w:t>
      </w:r>
      <w:r w:rsidR="00EC3827">
        <w:rPr>
          <w:rFonts w:cs="Calibri"/>
        </w:rPr>
        <w:t>C</w:t>
      </w:r>
      <w:r w:rsidRPr="00EC3827">
        <w:rPr>
          <w:rFonts w:cs="Calibri"/>
        </w:rPr>
        <w:t xml:space="preserve">ivil </w:t>
      </w:r>
      <w:r w:rsidR="00EC3827">
        <w:rPr>
          <w:rFonts w:cs="Calibri"/>
        </w:rPr>
        <w:t>S</w:t>
      </w:r>
      <w:r w:rsidRPr="00EC3827">
        <w:rPr>
          <w:rFonts w:cs="Calibri"/>
        </w:rPr>
        <w:t>ervice trade unions.</w:t>
      </w:r>
    </w:p>
    <w:p w:rsidR="002F4F99" w:rsidRPr="008E5B64" w:rsidRDefault="002F4F99" w:rsidP="002F4F99">
      <w:pPr>
        <w:spacing w:after="0" w:line="240" w:lineRule="auto"/>
        <w:ind w:left="720"/>
        <w:rPr>
          <w:rFonts w:cs="Calibri"/>
        </w:rPr>
      </w:pPr>
    </w:p>
    <w:p w:rsidR="002F4F99" w:rsidRPr="00EC3827" w:rsidRDefault="002F4F99" w:rsidP="002F4F99">
      <w:pPr>
        <w:ind w:left="720"/>
        <w:jc w:val="both"/>
        <w:rPr>
          <w:rFonts w:cs="Calibri"/>
        </w:rPr>
      </w:pPr>
      <w:r w:rsidRPr="008E5B64">
        <w:rPr>
          <w:rFonts w:cs="Calibri"/>
        </w:rPr>
        <w:t xml:space="preserve">Regarding </w:t>
      </w:r>
      <w:r w:rsidRPr="00DB30F1">
        <w:rPr>
          <w:rFonts w:cs="Calibri"/>
          <w:b/>
        </w:rPr>
        <w:t xml:space="preserve">methods of recruitment and selection to the </w:t>
      </w:r>
      <w:r w:rsidR="00EC3827">
        <w:rPr>
          <w:rFonts w:cs="Calibri"/>
          <w:b/>
        </w:rPr>
        <w:t>C</w:t>
      </w:r>
      <w:r w:rsidRPr="00DB30F1">
        <w:rPr>
          <w:rFonts w:cs="Calibri"/>
          <w:b/>
        </w:rPr>
        <w:t xml:space="preserve">ivil </w:t>
      </w:r>
      <w:r w:rsidR="00EC3827">
        <w:rPr>
          <w:rFonts w:cs="Calibri"/>
          <w:b/>
        </w:rPr>
        <w:t>S</w:t>
      </w:r>
      <w:r w:rsidRPr="00DB30F1">
        <w:rPr>
          <w:rFonts w:cs="Calibri"/>
          <w:b/>
        </w:rPr>
        <w:t>ervice,</w:t>
      </w:r>
      <w:r w:rsidRPr="00EC3827">
        <w:rPr>
          <w:rFonts w:cs="Calibri"/>
        </w:rPr>
        <w:t xml:space="preserve"> Croatia indicated that </w:t>
      </w:r>
      <w:r w:rsidRPr="00EC3827">
        <w:rPr>
          <w:rFonts w:cs="Calibri"/>
          <w:lang w:val="en-AU"/>
        </w:rPr>
        <w:t xml:space="preserve">Civil </w:t>
      </w:r>
      <w:r w:rsidR="00EC3827">
        <w:rPr>
          <w:rFonts w:cs="Calibri"/>
          <w:lang w:val="en-AU"/>
        </w:rPr>
        <w:t>S</w:t>
      </w:r>
      <w:r w:rsidRPr="00EC3827">
        <w:rPr>
          <w:rFonts w:cs="Calibri"/>
          <w:lang w:val="en-AU"/>
        </w:rPr>
        <w:t xml:space="preserve">ervants are recruited into the </w:t>
      </w:r>
      <w:r w:rsidR="00EC3827">
        <w:rPr>
          <w:rFonts w:cs="Calibri"/>
          <w:lang w:val="en-AU"/>
        </w:rPr>
        <w:t>C</w:t>
      </w:r>
      <w:r w:rsidRPr="00EC3827">
        <w:rPr>
          <w:rFonts w:cs="Calibri"/>
          <w:lang w:val="en-AU"/>
        </w:rPr>
        <w:t xml:space="preserve">ivil </w:t>
      </w:r>
      <w:r w:rsidR="00EC3827">
        <w:rPr>
          <w:rFonts w:cs="Calibri"/>
          <w:lang w:val="en-AU"/>
        </w:rPr>
        <w:t>S</w:t>
      </w:r>
      <w:r w:rsidRPr="00EC3827">
        <w:rPr>
          <w:rFonts w:cs="Calibri"/>
          <w:lang w:val="en-AU"/>
        </w:rPr>
        <w:t>ervice on the basis of a public competition procedure, unless otherwise stipulated by law</w:t>
      </w:r>
      <w:r w:rsidR="009F1F7E">
        <w:rPr>
          <w:rFonts w:cs="Calibri"/>
          <w:lang w:val="en-AU"/>
        </w:rPr>
        <w:t>.</w:t>
      </w:r>
    </w:p>
    <w:p w:rsidR="002F4F99" w:rsidRPr="00DB30F1" w:rsidRDefault="002F4F99" w:rsidP="002F4F99">
      <w:pPr>
        <w:pStyle w:val="t-9-8"/>
        <w:ind w:left="720"/>
        <w:jc w:val="both"/>
        <w:rPr>
          <w:rFonts w:ascii="Calibri" w:hAnsi="Calibri" w:cs="Calibri"/>
          <w:color w:val="000000"/>
          <w:sz w:val="22"/>
          <w:szCs w:val="22"/>
          <w:lang w:val="en-AU"/>
        </w:rPr>
      </w:pPr>
      <w:r w:rsidRPr="00EC3827">
        <w:rPr>
          <w:rFonts w:ascii="Calibri" w:hAnsi="Calibri" w:cs="Calibri"/>
          <w:color w:val="000000"/>
          <w:sz w:val="22"/>
          <w:szCs w:val="22"/>
          <w:lang w:val="en-AU"/>
        </w:rPr>
        <w:t xml:space="preserve">In respect of </w:t>
      </w:r>
      <w:r w:rsidR="00EC3827">
        <w:rPr>
          <w:rFonts w:ascii="Calibri" w:hAnsi="Calibri" w:cs="Calibri"/>
          <w:color w:val="000000"/>
          <w:sz w:val="22"/>
          <w:szCs w:val="22"/>
          <w:lang w:val="en-AU"/>
        </w:rPr>
        <w:t>S</w:t>
      </w:r>
      <w:r w:rsidRPr="00EC3827">
        <w:rPr>
          <w:rFonts w:ascii="Calibri" w:hAnsi="Calibri" w:cs="Calibri"/>
          <w:color w:val="000000"/>
          <w:sz w:val="22"/>
          <w:szCs w:val="22"/>
          <w:lang w:val="en-AU"/>
        </w:rPr>
        <w:t xml:space="preserve">enior </w:t>
      </w:r>
      <w:r w:rsidR="008E5B64">
        <w:rPr>
          <w:rFonts w:ascii="Calibri" w:hAnsi="Calibri" w:cs="Calibri"/>
          <w:color w:val="000000"/>
          <w:sz w:val="22"/>
          <w:szCs w:val="22"/>
          <w:lang w:val="en-AU"/>
        </w:rPr>
        <w:t>C</w:t>
      </w:r>
      <w:r w:rsidRPr="00EC3827">
        <w:rPr>
          <w:rFonts w:ascii="Calibri" w:hAnsi="Calibri" w:cs="Calibri"/>
          <w:color w:val="000000"/>
          <w:sz w:val="22"/>
          <w:szCs w:val="22"/>
          <w:lang w:val="en-AU"/>
        </w:rPr>
        <w:t xml:space="preserve">ivil </w:t>
      </w:r>
      <w:r w:rsidR="008E5B64">
        <w:rPr>
          <w:rFonts w:ascii="Calibri" w:hAnsi="Calibri" w:cs="Calibri"/>
          <w:color w:val="000000"/>
          <w:sz w:val="22"/>
          <w:szCs w:val="22"/>
          <w:lang w:val="en-AU"/>
        </w:rPr>
        <w:t>S</w:t>
      </w:r>
      <w:r w:rsidRPr="00EC3827">
        <w:rPr>
          <w:rFonts w:ascii="Calibri" w:hAnsi="Calibri" w:cs="Calibri"/>
          <w:color w:val="000000"/>
          <w:sz w:val="22"/>
          <w:szCs w:val="22"/>
          <w:lang w:val="en-AU"/>
        </w:rPr>
        <w:t xml:space="preserve">ervants, selection also takes place on </w:t>
      </w:r>
      <w:r w:rsidRPr="00EC3827">
        <w:rPr>
          <w:rFonts w:ascii="Calibri" w:hAnsi="Calibri" w:cs="Calibri"/>
          <w:sz w:val="22"/>
          <w:szCs w:val="22"/>
          <w:lang w:val="en-AU"/>
        </w:rPr>
        <w:t xml:space="preserve">the basis of a public competition procedure. A public competition procedure is implemented by the selection board, which always includes a representative of the Ministry of Public </w:t>
      </w:r>
      <w:r w:rsidRPr="008E5B64">
        <w:rPr>
          <w:rFonts w:ascii="Calibri" w:hAnsi="Calibri" w:cs="Calibri"/>
          <w:sz w:val="22"/>
          <w:szCs w:val="22"/>
          <w:lang w:val="en-AU"/>
        </w:rPr>
        <w:t>Administration.</w:t>
      </w:r>
      <w:r w:rsidRPr="008E5B64">
        <w:rPr>
          <w:rFonts w:ascii="Calibri" w:hAnsi="Calibri" w:cs="Calibri"/>
          <w:sz w:val="22"/>
          <w:szCs w:val="22"/>
        </w:rPr>
        <w:t xml:space="preserve"> </w:t>
      </w:r>
      <w:r w:rsidRPr="008E5B64">
        <w:rPr>
          <w:rFonts w:ascii="Calibri" w:hAnsi="Calibri" w:cs="Calibri"/>
          <w:color w:val="000000"/>
          <w:sz w:val="22"/>
          <w:szCs w:val="22"/>
          <w:lang w:val="en-AU"/>
        </w:rPr>
        <w:t xml:space="preserve">The </w:t>
      </w:r>
      <w:r w:rsidRPr="008E5B64">
        <w:rPr>
          <w:rFonts w:ascii="Calibri" w:hAnsi="Calibri" w:cs="Calibri"/>
          <w:color w:val="000000"/>
          <w:sz w:val="22"/>
          <w:szCs w:val="22"/>
          <w:lang w:val="en-AU"/>
        </w:rPr>
        <w:lastRenderedPageBreak/>
        <w:t>selection board establishes a list of candidates who meet formal requirements stated in the competition notice, and invites them for an interview to determine their professional knowledge, competences and skills, as well as previous pro</w:t>
      </w:r>
      <w:r w:rsidRPr="00DB30F1">
        <w:rPr>
          <w:rFonts w:ascii="Calibri" w:hAnsi="Calibri" w:cs="Calibri"/>
          <w:color w:val="000000"/>
          <w:sz w:val="22"/>
          <w:szCs w:val="22"/>
          <w:lang w:val="en-AU"/>
        </w:rPr>
        <w:t>fessional achievements.</w:t>
      </w:r>
      <w:r w:rsidRPr="00DB30F1">
        <w:rPr>
          <w:rFonts w:ascii="Calibri" w:hAnsi="Calibri" w:cs="Calibri"/>
          <w:color w:val="000000"/>
          <w:sz w:val="22"/>
          <w:szCs w:val="22"/>
        </w:rPr>
        <w:t xml:space="preserve"> </w:t>
      </w:r>
      <w:r w:rsidRPr="00DB30F1">
        <w:rPr>
          <w:rFonts w:ascii="Calibri" w:hAnsi="Calibri" w:cs="Calibri"/>
          <w:color w:val="000000"/>
          <w:sz w:val="22"/>
          <w:szCs w:val="22"/>
          <w:lang w:val="en-AU"/>
        </w:rPr>
        <w:t>The interview with the candidates is conducted by the head of the relevant body or a person authorised by him/her for this task.</w:t>
      </w:r>
      <w:r w:rsidRPr="00DB30F1">
        <w:rPr>
          <w:rFonts w:ascii="Calibri" w:hAnsi="Calibri" w:cs="Calibri"/>
          <w:color w:val="000000"/>
          <w:sz w:val="22"/>
          <w:szCs w:val="22"/>
        </w:rPr>
        <w:t xml:space="preserve"> </w:t>
      </w:r>
      <w:r w:rsidRPr="00DB30F1">
        <w:rPr>
          <w:rFonts w:ascii="Calibri" w:hAnsi="Calibri" w:cs="Calibri"/>
          <w:color w:val="000000"/>
          <w:sz w:val="22"/>
          <w:szCs w:val="22"/>
          <w:lang w:val="en-AU"/>
        </w:rPr>
        <w:t>Based on the results of interviews, the head of the body proposes a candidate for nomination to the Government.</w:t>
      </w:r>
    </w:p>
    <w:p w:rsidR="002F4F99" w:rsidRPr="00DB30F1" w:rsidRDefault="002F4F99" w:rsidP="002F4F99">
      <w:pPr>
        <w:spacing w:after="0" w:line="240" w:lineRule="auto"/>
        <w:ind w:left="720"/>
        <w:rPr>
          <w:rFonts w:cs="Calibri"/>
        </w:rPr>
      </w:pPr>
    </w:p>
    <w:p w:rsidR="002F4F99" w:rsidRPr="00DB30F1" w:rsidRDefault="002F4F99" w:rsidP="002F4F99">
      <w:pPr>
        <w:pStyle w:val="ListParagraph"/>
        <w:numPr>
          <w:ilvl w:val="0"/>
          <w:numId w:val="8"/>
        </w:numPr>
        <w:spacing w:after="0" w:line="240" w:lineRule="auto"/>
        <w:rPr>
          <w:rFonts w:cs="Calibri"/>
          <w:b/>
        </w:rPr>
      </w:pPr>
      <w:r w:rsidRPr="00DB30F1">
        <w:rPr>
          <w:rFonts w:cs="Calibri"/>
          <w:b/>
        </w:rPr>
        <w:t>Montenegro</w:t>
      </w:r>
    </w:p>
    <w:p w:rsidR="002F4F99" w:rsidRPr="00DB30F1" w:rsidRDefault="002F4F99" w:rsidP="002F4F99">
      <w:pPr>
        <w:spacing w:after="0" w:line="240" w:lineRule="auto"/>
        <w:rPr>
          <w:rFonts w:cs="Calibri"/>
        </w:rPr>
      </w:pPr>
    </w:p>
    <w:p w:rsidR="002F4F99" w:rsidRPr="008E5B64" w:rsidRDefault="002F4F99" w:rsidP="002F4F99">
      <w:pPr>
        <w:spacing w:after="0" w:line="240" w:lineRule="auto"/>
        <w:ind w:left="720"/>
        <w:rPr>
          <w:rFonts w:cs="Calibri"/>
        </w:rPr>
      </w:pPr>
      <w:r w:rsidRPr="00DB30F1">
        <w:rPr>
          <w:rFonts w:cs="Calibri"/>
        </w:rPr>
        <w:t xml:space="preserve">Montenegro also reported that there had been a number of HR reforms since 2009.  Regarding the </w:t>
      </w:r>
      <w:r w:rsidRPr="00DB30F1">
        <w:rPr>
          <w:rFonts w:cs="Calibri"/>
          <w:b/>
        </w:rPr>
        <w:t>general terms and conditions of service,</w:t>
      </w:r>
      <w:r w:rsidRPr="008E5B64">
        <w:rPr>
          <w:rFonts w:cs="Calibri"/>
        </w:rPr>
        <w:t xml:space="preserve"> Montenegro indicated that a new Law on Civil Servants and State Employees, which entered into force in January 2013, introduced a merit-based system and made amendments to grading, probation and disciplinary procedures.</w:t>
      </w:r>
    </w:p>
    <w:p w:rsidR="002F4F99" w:rsidRPr="00DB30F1" w:rsidRDefault="002F4F99" w:rsidP="002F4F99">
      <w:pPr>
        <w:spacing w:after="0" w:line="240" w:lineRule="auto"/>
        <w:ind w:left="720"/>
        <w:rPr>
          <w:rFonts w:cs="Calibri"/>
        </w:rPr>
      </w:pPr>
    </w:p>
    <w:p w:rsidR="002F4F99" w:rsidRPr="008E5B64" w:rsidRDefault="002F4F99" w:rsidP="002F4F99">
      <w:pPr>
        <w:spacing w:after="0" w:line="240" w:lineRule="auto"/>
        <w:ind w:left="720"/>
        <w:rPr>
          <w:rFonts w:cs="Calibri"/>
        </w:rPr>
      </w:pPr>
      <w:r w:rsidRPr="00DB30F1">
        <w:rPr>
          <w:rFonts w:cs="Calibri"/>
        </w:rPr>
        <w:t xml:space="preserve">Regarding </w:t>
      </w:r>
      <w:r w:rsidRPr="00DB30F1">
        <w:rPr>
          <w:rFonts w:cs="Calibri"/>
          <w:b/>
        </w:rPr>
        <w:t>rates of pay,</w:t>
      </w:r>
      <w:r w:rsidRPr="008E5B64">
        <w:rPr>
          <w:rFonts w:cs="Calibri"/>
        </w:rPr>
        <w:t xml:space="preserve"> Montenegro indicated that Article 11 of the Law on Salaries of Civil Servants and State Employees, which determines pay grades by reference to qualifications and experience, has applied since January 2013.</w:t>
      </w:r>
    </w:p>
    <w:p w:rsidR="002F4F99" w:rsidRPr="00DB30F1" w:rsidRDefault="002F4F99" w:rsidP="002F4F99">
      <w:pPr>
        <w:spacing w:after="0" w:line="240" w:lineRule="auto"/>
        <w:ind w:left="720"/>
        <w:rPr>
          <w:rFonts w:cs="Calibri"/>
        </w:rPr>
      </w:pPr>
    </w:p>
    <w:p w:rsidR="002F4F99" w:rsidRPr="008E5B64" w:rsidRDefault="002F4F99" w:rsidP="002F4F99">
      <w:pPr>
        <w:spacing w:after="0" w:line="240" w:lineRule="auto"/>
        <w:ind w:left="720"/>
        <w:rPr>
          <w:rFonts w:cs="Calibri"/>
        </w:rPr>
      </w:pPr>
      <w:r w:rsidRPr="00DB30F1">
        <w:rPr>
          <w:rFonts w:cs="Calibri"/>
        </w:rPr>
        <w:t xml:space="preserve">Regarding </w:t>
      </w:r>
      <w:r w:rsidRPr="00DB30F1">
        <w:rPr>
          <w:rFonts w:cs="Calibri"/>
          <w:b/>
        </w:rPr>
        <w:t>pension entitlements or conditions of qualification,</w:t>
      </w:r>
      <w:r w:rsidRPr="008E5B64">
        <w:rPr>
          <w:rFonts w:cs="Calibri"/>
        </w:rPr>
        <w:t xml:space="preserve"> Montenegro indicated that there had been several changes to both the conditions for retirement and the conditions for early retirement.</w:t>
      </w:r>
    </w:p>
    <w:p w:rsidR="002F4F99" w:rsidRPr="00DB30F1" w:rsidRDefault="002F4F99" w:rsidP="002F4F99">
      <w:pPr>
        <w:spacing w:after="0" w:line="240" w:lineRule="auto"/>
        <w:ind w:left="720"/>
        <w:rPr>
          <w:rFonts w:cs="Calibri"/>
        </w:rPr>
      </w:pPr>
    </w:p>
    <w:p w:rsidR="002F4F99" w:rsidRPr="008E5B64" w:rsidRDefault="002F4F99" w:rsidP="002F4F99">
      <w:pPr>
        <w:spacing w:after="0" w:line="240" w:lineRule="auto"/>
        <w:ind w:left="720"/>
        <w:rPr>
          <w:rFonts w:cs="Calibri"/>
        </w:rPr>
      </w:pPr>
      <w:r w:rsidRPr="00DB30F1">
        <w:rPr>
          <w:rFonts w:cs="Calibri"/>
        </w:rPr>
        <w:t xml:space="preserve">Regarding the </w:t>
      </w:r>
      <w:r w:rsidRPr="00DB30F1">
        <w:rPr>
          <w:rFonts w:cs="Calibri"/>
          <w:b/>
        </w:rPr>
        <w:t>methods of re</w:t>
      </w:r>
      <w:r w:rsidR="00CB5D34">
        <w:rPr>
          <w:rFonts w:cs="Calibri"/>
          <w:b/>
        </w:rPr>
        <w:t>cruitment and selection to the Civil S</w:t>
      </w:r>
      <w:r w:rsidRPr="00DB30F1">
        <w:rPr>
          <w:rFonts w:cs="Calibri"/>
          <w:b/>
        </w:rPr>
        <w:t>ervice,</w:t>
      </w:r>
      <w:r w:rsidRPr="008E5B64">
        <w:rPr>
          <w:rFonts w:cs="Calibri"/>
        </w:rPr>
        <w:t xml:space="preserve"> Montenegro indicated that the new Law on Civil Servants and State Employees made several changes to the recruitment process.  These included changes to:</w:t>
      </w:r>
    </w:p>
    <w:p w:rsidR="002F4F99" w:rsidRPr="00DB30F1" w:rsidRDefault="002F4F99" w:rsidP="002F4F99">
      <w:pPr>
        <w:spacing w:after="0" w:line="240" w:lineRule="auto"/>
        <w:ind w:left="720"/>
        <w:rPr>
          <w:rFonts w:cs="Calibri"/>
        </w:rPr>
      </w:pPr>
    </w:p>
    <w:p w:rsidR="002F4F99" w:rsidRPr="008E5B64" w:rsidRDefault="002F4F99" w:rsidP="002F4F99">
      <w:pPr>
        <w:pStyle w:val="ListParagraph"/>
        <w:numPr>
          <w:ilvl w:val="0"/>
          <w:numId w:val="12"/>
        </w:numPr>
        <w:spacing w:after="0" w:line="240" w:lineRule="auto"/>
        <w:rPr>
          <w:rFonts w:cs="Calibri"/>
        </w:rPr>
      </w:pPr>
      <w:r w:rsidRPr="00DB30F1">
        <w:rPr>
          <w:rFonts w:cs="Calibri"/>
        </w:rPr>
        <w:t>the advertisement process, which is by means of internal advertisement followed by public advertisement</w:t>
      </w:r>
    </w:p>
    <w:p w:rsidR="002F4F99" w:rsidRPr="00DB30F1" w:rsidRDefault="002F4F99" w:rsidP="002F4F99">
      <w:pPr>
        <w:pStyle w:val="ListParagraph"/>
        <w:numPr>
          <w:ilvl w:val="0"/>
          <w:numId w:val="12"/>
        </w:numPr>
        <w:spacing w:after="0" w:line="240" w:lineRule="auto"/>
        <w:rPr>
          <w:rFonts w:cs="Calibri"/>
        </w:rPr>
      </w:pPr>
      <w:r w:rsidRPr="008E5B64">
        <w:rPr>
          <w:rFonts w:cs="Calibri"/>
        </w:rPr>
        <w:t>the drawing up of lists of candidates, which is done by the Human Resources Management Agency (HRMA) by reference to professional and per</w:t>
      </w:r>
      <w:r w:rsidRPr="00DB30F1">
        <w:rPr>
          <w:rFonts w:cs="Calibri"/>
        </w:rPr>
        <w:t xml:space="preserve">formance qualities; </w:t>
      </w:r>
    </w:p>
    <w:p w:rsidR="002F4F99" w:rsidRPr="008E5B64" w:rsidRDefault="002F4F99" w:rsidP="002F4F99">
      <w:pPr>
        <w:pStyle w:val="ListParagraph"/>
        <w:numPr>
          <w:ilvl w:val="0"/>
          <w:numId w:val="12"/>
        </w:numPr>
        <w:spacing w:after="0" w:line="240" w:lineRule="auto"/>
        <w:rPr>
          <w:rFonts w:cs="Calibri"/>
        </w:rPr>
      </w:pPr>
      <w:r w:rsidRPr="00DB30F1">
        <w:rPr>
          <w:rFonts w:cs="Calibri"/>
        </w:rPr>
        <w:t xml:space="preserve">the testing procedure, which is done by a </w:t>
      </w:r>
      <w:r w:rsidR="008E5B64">
        <w:rPr>
          <w:rFonts w:cs="Calibri"/>
        </w:rPr>
        <w:t>C</w:t>
      </w:r>
      <w:r w:rsidRPr="008E5B64">
        <w:rPr>
          <w:rFonts w:cs="Calibri"/>
        </w:rPr>
        <w:t>ommission (comprised of representatives of the HRMA and the particular state agency and skills experts)</w:t>
      </w:r>
      <w:r w:rsidR="00EA1BED">
        <w:rPr>
          <w:rFonts w:cs="Calibri"/>
        </w:rPr>
        <w:t>,</w:t>
      </w:r>
      <w:r w:rsidRPr="008E5B64">
        <w:rPr>
          <w:rFonts w:cs="Calibri"/>
        </w:rPr>
        <w:t xml:space="preserve"> is based on a situational assessment; and </w:t>
      </w:r>
    </w:p>
    <w:p w:rsidR="002F4F99" w:rsidRPr="008E5B64" w:rsidRDefault="002F4F99" w:rsidP="002F4F99">
      <w:pPr>
        <w:pStyle w:val="ListParagraph"/>
        <w:numPr>
          <w:ilvl w:val="0"/>
          <w:numId w:val="12"/>
        </w:numPr>
        <w:spacing w:after="0" w:line="240" w:lineRule="auto"/>
        <w:rPr>
          <w:rFonts w:cs="Calibri"/>
        </w:rPr>
      </w:pPr>
      <w:proofErr w:type="gramStart"/>
      <w:r w:rsidRPr="008E5B64">
        <w:rPr>
          <w:rFonts w:cs="Calibri"/>
        </w:rPr>
        <w:t>the</w:t>
      </w:r>
      <w:proofErr w:type="gramEnd"/>
      <w:r w:rsidRPr="008E5B64">
        <w:rPr>
          <w:rFonts w:cs="Calibri"/>
        </w:rPr>
        <w:t xml:space="preserve"> short-listing of candidates by the HRMA, which is then submitted to the Head of the State Agency.</w:t>
      </w:r>
    </w:p>
    <w:p w:rsidR="002F4F99" w:rsidRPr="00DB30F1" w:rsidRDefault="002F4F99" w:rsidP="002F4F99">
      <w:pPr>
        <w:spacing w:after="0" w:line="240" w:lineRule="auto"/>
        <w:ind w:left="720"/>
        <w:rPr>
          <w:rFonts w:cs="Calibri"/>
        </w:rPr>
      </w:pPr>
    </w:p>
    <w:p w:rsidR="002F4F99" w:rsidRPr="008E5B64" w:rsidRDefault="002F4F99" w:rsidP="002F4F99">
      <w:pPr>
        <w:spacing w:after="0" w:line="240" w:lineRule="auto"/>
        <w:ind w:left="720"/>
        <w:rPr>
          <w:rFonts w:cs="Calibri"/>
        </w:rPr>
      </w:pPr>
      <w:r w:rsidRPr="00DB30F1">
        <w:rPr>
          <w:rFonts w:cs="Calibri"/>
        </w:rPr>
        <w:t xml:space="preserve">Regarding the </w:t>
      </w:r>
      <w:r w:rsidRPr="00DB30F1">
        <w:rPr>
          <w:rFonts w:cs="Calibri"/>
          <w:b/>
        </w:rPr>
        <w:t xml:space="preserve">methods of recruitment and selection to the senior public service, </w:t>
      </w:r>
      <w:r w:rsidRPr="008E5B64">
        <w:rPr>
          <w:rFonts w:cs="Calibri"/>
        </w:rPr>
        <w:t xml:space="preserve">Montenegro indicated that there had also been several changes: </w:t>
      </w:r>
    </w:p>
    <w:p w:rsidR="002F4F99" w:rsidRPr="00DB30F1" w:rsidRDefault="002F4F99" w:rsidP="002F4F99">
      <w:pPr>
        <w:spacing w:after="0" w:line="240" w:lineRule="auto"/>
        <w:ind w:left="720"/>
        <w:rPr>
          <w:rFonts w:cs="Calibri"/>
        </w:rPr>
      </w:pPr>
    </w:p>
    <w:p w:rsidR="002F4F99" w:rsidRPr="00DB30F1" w:rsidRDefault="002F4F99" w:rsidP="002F4F99">
      <w:pPr>
        <w:pStyle w:val="ListParagraph"/>
        <w:numPr>
          <w:ilvl w:val="0"/>
          <w:numId w:val="13"/>
        </w:numPr>
        <w:spacing w:after="0" w:line="240" w:lineRule="auto"/>
        <w:rPr>
          <w:rFonts w:cs="Calibri"/>
        </w:rPr>
      </w:pPr>
      <w:r w:rsidRPr="00DB30F1">
        <w:rPr>
          <w:rFonts w:cs="Calibri"/>
        </w:rPr>
        <w:t>recruitment is by means of public competition;</w:t>
      </w:r>
    </w:p>
    <w:p w:rsidR="002F4F99" w:rsidRPr="00DB30F1" w:rsidRDefault="002F4F99" w:rsidP="002F4F99">
      <w:pPr>
        <w:pStyle w:val="ListParagraph"/>
        <w:numPr>
          <w:ilvl w:val="0"/>
          <w:numId w:val="13"/>
        </w:numPr>
        <w:spacing w:after="0" w:line="240" w:lineRule="auto"/>
        <w:rPr>
          <w:rFonts w:cs="Calibri"/>
        </w:rPr>
      </w:pPr>
      <w:r w:rsidRPr="00DB30F1">
        <w:rPr>
          <w:rFonts w:cs="Calibri"/>
        </w:rPr>
        <w:t>the HRMA draws up a list of candidates except where the vacancy is for a senior public service position in the Service of the Parliament, in which case an authorised civil servant draws up the list;</w:t>
      </w:r>
    </w:p>
    <w:p w:rsidR="002F4F99" w:rsidRPr="008E5B64" w:rsidRDefault="002F4F99" w:rsidP="002F4F99">
      <w:pPr>
        <w:pStyle w:val="ListParagraph"/>
        <w:numPr>
          <w:ilvl w:val="0"/>
          <w:numId w:val="13"/>
        </w:numPr>
        <w:spacing w:after="0" w:line="240" w:lineRule="auto"/>
        <w:rPr>
          <w:rFonts w:cs="Calibri"/>
        </w:rPr>
      </w:pPr>
      <w:r w:rsidRPr="00DB30F1">
        <w:rPr>
          <w:rFonts w:cs="Calibri"/>
        </w:rPr>
        <w:t xml:space="preserve">testing is done by a </w:t>
      </w:r>
      <w:r w:rsidR="008E5B64">
        <w:rPr>
          <w:rFonts w:cs="Calibri"/>
        </w:rPr>
        <w:t>C</w:t>
      </w:r>
      <w:r w:rsidRPr="008E5B64">
        <w:rPr>
          <w:rFonts w:cs="Calibri"/>
        </w:rPr>
        <w:t>ommission (comprised of representatives of the HRMA and the particular agency and an expert in the area of competency of that agency); and</w:t>
      </w:r>
    </w:p>
    <w:p w:rsidR="002F4F99" w:rsidRPr="00DB30F1" w:rsidRDefault="002F4F99" w:rsidP="002F4F99">
      <w:pPr>
        <w:pStyle w:val="ListParagraph"/>
        <w:numPr>
          <w:ilvl w:val="0"/>
          <w:numId w:val="13"/>
        </w:numPr>
        <w:spacing w:after="0" w:line="240" w:lineRule="auto"/>
        <w:rPr>
          <w:rFonts w:cs="Calibri"/>
        </w:rPr>
      </w:pPr>
      <w:proofErr w:type="gramStart"/>
      <w:r w:rsidRPr="00DB30F1">
        <w:rPr>
          <w:rFonts w:cs="Calibri"/>
        </w:rPr>
        <w:t>the</w:t>
      </w:r>
      <w:proofErr w:type="gramEnd"/>
      <w:r w:rsidRPr="00DB30F1">
        <w:rPr>
          <w:rFonts w:cs="Calibri"/>
        </w:rPr>
        <w:t xml:space="preserve"> Head of the State Agency proposes the appointment to the Government.</w:t>
      </w:r>
    </w:p>
    <w:p w:rsidR="002F4F99" w:rsidRPr="00DB30F1" w:rsidRDefault="002F4F99" w:rsidP="002F4F99">
      <w:pPr>
        <w:spacing w:after="0" w:line="240" w:lineRule="auto"/>
        <w:rPr>
          <w:rFonts w:cs="Calibri"/>
        </w:rPr>
      </w:pPr>
    </w:p>
    <w:p w:rsidR="002F4F99" w:rsidRPr="00DB30F1" w:rsidRDefault="002F4F99" w:rsidP="002F4F99">
      <w:pPr>
        <w:pStyle w:val="ListParagraph"/>
        <w:numPr>
          <w:ilvl w:val="0"/>
          <w:numId w:val="8"/>
        </w:numPr>
        <w:spacing w:after="0" w:line="240" w:lineRule="auto"/>
        <w:rPr>
          <w:rFonts w:cs="Calibri"/>
          <w:b/>
        </w:rPr>
      </w:pPr>
      <w:r w:rsidRPr="00DB30F1">
        <w:rPr>
          <w:rFonts w:cs="Calibri"/>
          <w:b/>
        </w:rPr>
        <w:t>Norway</w:t>
      </w:r>
    </w:p>
    <w:p w:rsidR="002F4F99" w:rsidRPr="00DB30F1" w:rsidRDefault="002F4F99" w:rsidP="002F4F99">
      <w:pPr>
        <w:spacing w:after="0" w:line="240" w:lineRule="auto"/>
        <w:rPr>
          <w:rFonts w:cs="Calibri"/>
        </w:rPr>
      </w:pPr>
    </w:p>
    <w:p w:rsidR="002F4F99" w:rsidRPr="00DB30F1" w:rsidRDefault="002F4F99" w:rsidP="002F4F99">
      <w:pPr>
        <w:spacing w:after="0" w:line="240" w:lineRule="auto"/>
        <w:ind w:left="720"/>
        <w:rPr>
          <w:rFonts w:cs="Calibri"/>
        </w:rPr>
      </w:pPr>
      <w:r w:rsidRPr="00DB30F1">
        <w:rPr>
          <w:rFonts w:cs="Calibri"/>
        </w:rPr>
        <w:t>Norway reported that there had been a number of HR reforms since 2009.  These included:</w:t>
      </w:r>
    </w:p>
    <w:p w:rsidR="002F4F99" w:rsidRPr="00DB30F1" w:rsidRDefault="002F4F99" w:rsidP="002F4F99">
      <w:pPr>
        <w:spacing w:after="0" w:line="240" w:lineRule="auto"/>
        <w:ind w:left="720"/>
        <w:rPr>
          <w:rFonts w:cs="Calibri"/>
        </w:rPr>
      </w:pPr>
    </w:p>
    <w:p w:rsidR="002F4F99" w:rsidRPr="008E5B64" w:rsidRDefault="002F4F99" w:rsidP="002F4F99">
      <w:pPr>
        <w:pStyle w:val="ListParagraph"/>
        <w:numPr>
          <w:ilvl w:val="0"/>
          <w:numId w:val="14"/>
        </w:numPr>
        <w:spacing w:after="0" w:line="240" w:lineRule="auto"/>
        <w:rPr>
          <w:rFonts w:cs="Calibri"/>
        </w:rPr>
      </w:pPr>
      <w:r w:rsidRPr="00DB30F1">
        <w:rPr>
          <w:rFonts w:cs="Calibri"/>
        </w:rPr>
        <w:t xml:space="preserve">The upgrading of </w:t>
      </w:r>
      <w:r w:rsidRPr="00DB30F1">
        <w:rPr>
          <w:rFonts w:cs="Calibri"/>
          <w:b/>
        </w:rPr>
        <w:t>rates of pay</w:t>
      </w:r>
      <w:r w:rsidRPr="008E5B64">
        <w:rPr>
          <w:rFonts w:cs="Calibri"/>
        </w:rPr>
        <w:t xml:space="preserve"> in accordance with agreements with central trade unions during the period 2009 to 2012;</w:t>
      </w:r>
    </w:p>
    <w:p w:rsidR="002F4F99" w:rsidRPr="008E5B64" w:rsidRDefault="002F4F99" w:rsidP="002F4F99">
      <w:pPr>
        <w:pStyle w:val="ListParagraph"/>
        <w:numPr>
          <w:ilvl w:val="0"/>
          <w:numId w:val="14"/>
        </w:numPr>
        <w:spacing w:after="0" w:line="240" w:lineRule="auto"/>
        <w:rPr>
          <w:rFonts w:cs="Calibri"/>
        </w:rPr>
      </w:pPr>
      <w:r w:rsidRPr="008E5B64">
        <w:rPr>
          <w:rFonts w:cs="Calibri"/>
        </w:rPr>
        <w:t xml:space="preserve">The implementation of a </w:t>
      </w:r>
      <w:r w:rsidRPr="00DB30F1">
        <w:rPr>
          <w:rFonts w:cs="Calibri"/>
          <w:b/>
        </w:rPr>
        <w:t>pension reform</w:t>
      </w:r>
      <w:r w:rsidRPr="008E5B64">
        <w:rPr>
          <w:rFonts w:cs="Calibri"/>
        </w:rPr>
        <w:t xml:space="preserve"> in 2011; and</w:t>
      </w:r>
    </w:p>
    <w:p w:rsidR="002F4F99" w:rsidRPr="008E5B64" w:rsidRDefault="002F4F99" w:rsidP="002F4F99">
      <w:pPr>
        <w:pStyle w:val="ListParagraph"/>
        <w:numPr>
          <w:ilvl w:val="0"/>
          <w:numId w:val="14"/>
        </w:numPr>
        <w:spacing w:after="0" w:line="240" w:lineRule="auto"/>
        <w:rPr>
          <w:rFonts w:cs="Calibri"/>
        </w:rPr>
      </w:pPr>
      <w:r w:rsidRPr="008E5B64">
        <w:rPr>
          <w:rFonts w:cs="Calibri"/>
        </w:rPr>
        <w:t xml:space="preserve">In relation to </w:t>
      </w:r>
      <w:r w:rsidRPr="00DB30F1">
        <w:rPr>
          <w:rFonts w:cs="Calibri"/>
          <w:b/>
        </w:rPr>
        <w:t>family friendly policies,</w:t>
      </w:r>
      <w:r w:rsidRPr="008E5B64">
        <w:rPr>
          <w:rFonts w:cs="Calibri"/>
        </w:rPr>
        <w:t xml:space="preserve"> the renewal of the tripartite Agreement on a more Inclusive Working Life in 2010.</w:t>
      </w:r>
    </w:p>
    <w:p w:rsidR="002F4F99" w:rsidRPr="008E5B64" w:rsidRDefault="002F4F99" w:rsidP="002F4F99">
      <w:pPr>
        <w:spacing w:after="0" w:line="240" w:lineRule="auto"/>
        <w:rPr>
          <w:rFonts w:cs="Calibri"/>
        </w:rPr>
      </w:pPr>
    </w:p>
    <w:p w:rsidR="002F4F99" w:rsidRPr="00DB30F1" w:rsidRDefault="002F4F99" w:rsidP="002F4F99">
      <w:pPr>
        <w:pStyle w:val="ListParagraph"/>
        <w:numPr>
          <w:ilvl w:val="0"/>
          <w:numId w:val="8"/>
        </w:numPr>
        <w:spacing w:after="0" w:line="240" w:lineRule="auto"/>
        <w:rPr>
          <w:rFonts w:cs="Calibri"/>
          <w:b/>
        </w:rPr>
      </w:pPr>
      <w:r w:rsidRPr="00DB30F1">
        <w:rPr>
          <w:rFonts w:cs="Calibri"/>
          <w:b/>
        </w:rPr>
        <w:t>Switzerland</w:t>
      </w:r>
    </w:p>
    <w:p w:rsidR="002F4F99" w:rsidRPr="00DB30F1" w:rsidRDefault="002F4F99" w:rsidP="002F4F99">
      <w:pPr>
        <w:spacing w:after="0" w:line="240" w:lineRule="auto"/>
        <w:rPr>
          <w:rFonts w:cs="Calibri"/>
        </w:rPr>
      </w:pPr>
    </w:p>
    <w:p w:rsidR="002F4F99" w:rsidRPr="00DB30F1" w:rsidRDefault="002F4F99" w:rsidP="002F4F99">
      <w:pPr>
        <w:spacing w:after="0" w:line="240" w:lineRule="auto"/>
        <w:ind w:left="720"/>
        <w:rPr>
          <w:rFonts w:cs="Calibri"/>
        </w:rPr>
      </w:pPr>
      <w:r w:rsidRPr="00DB30F1">
        <w:rPr>
          <w:rFonts w:cs="Calibri"/>
        </w:rPr>
        <w:t>Switzerland reported that there had been a number of HR reforms since 2009.  These included changes in relation to:</w:t>
      </w:r>
    </w:p>
    <w:p w:rsidR="002F4F99" w:rsidRPr="00DB30F1" w:rsidRDefault="002F4F99" w:rsidP="002F4F99">
      <w:pPr>
        <w:spacing w:after="0" w:line="240" w:lineRule="auto"/>
        <w:ind w:left="720"/>
        <w:rPr>
          <w:rFonts w:cs="Calibri"/>
        </w:rPr>
      </w:pPr>
    </w:p>
    <w:p w:rsidR="002F4F99" w:rsidRPr="00DB30F1" w:rsidRDefault="002F4F99" w:rsidP="002F4F99">
      <w:pPr>
        <w:pStyle w:val="ListParagraph"/>
        <w:numPr>
          <w:ilvl w:val="0"/>
          <w:numId w:val="15"/>
        </w:numPr>
        <w:spacing w:after="0" w:line="240" w:lineRule="auto"/>
        <w:rPr>
          <w:rFonts w:cs="Calibri"/>
        </w:rPr>
      </w:pPr>
      <w:r w:rsidRPr="00DB30F1">
        <w:rPr>
          <w:rFonts w:cs="Calibri"/>
        </w:rPr>
        <w:t>Working time models;</w:t>
      </w:r>
    </w:p>
    <w:p w:rsidR="002F4F99" w:rsidRPr="00DB30F1" w:rsidRDefault="002F4F99" w:rsidP="002F4F99">
      <w:pPr>
        <w:pStyle w:val="ListParagraph"/>
        <w:numPr>
          <w:ilvl w:val="0"/>
          <w:numId w:val="15"/>
        </w:numPr>
        <w:spacing w:after="0" w:line="240" w:lineRule="auto"/>
        <w:rPr>
          <w:rFonts w:cs="Calibri"/>
        </w:rPr>
      </w:pPr>
      <w:r w:rsidRPr="00DB30F1">
        <w:rPr>
          <w:rFonts w:cs="Calibri"/>
        </w:rPr>
        <w:t>Holiday regulations;</w:t>
      </w:r>
    </w:p>
    <w:p w:rsidR="002F4F99" w:rsidRPr="00DB30F1" w:rsidRDefault="002F4F99" w:rsidP="002F4F99">
      <w:pPr>
        <w:pStyle w:val="ListParagraph"/>
        <w:numPr>
          <w:ilvl w:val="0"/>
          <w:numId w:val="15"/>
        </w:numPr>
        <w:spacing w:after="0" w:line="240" w:lineRule="auto"/>
        <w:rPr>
          <w:rFonts w:cs="Calibri"/>
        </w:rPr>
      </w:pPr>
      <w:r w:rsidRPr="00DB30F1">
        <w:rPr>
          <w:rFonts w:cs="Calibri"/>
        </w:rPr>
        <w:t>Compensation system;</w:t>
      </w:r>
    </w:p>
    <w:p w:rsidR="002F4F99" w:rsidRPr="00DB30F1" w:rsidRDefault="002F4F99" w:rsidP="002F4F99">
      <w:pPr>
        <w:pStyle w:val="ListParagraph"/>
        <w:numPr>
          <w:ilvl w:val="0"/>
          <w:numId w:val="15"/>
        </w:numPr>
        <w:spacing w:after="0" w:line="240" w:lineRule="auto"/>
        <w:rPr>
          <w:rFonts w:cs="Calibri"/>
        </w:rPr>
      </w:pPr>
      <w:r w:rsidRPr="00DB30F1">
        <w:rPr>
          <w:rFonts w:cs="Calibri"/>
        </w:rPr>
        <w:t>Salary parity between men and women;</w:t>
      </w:r>
    </w:p>
    <w:p w:rsidR="002F4F99" w:rsidRPr="00DB30F1" w:rsidRDefault="002F4F99" w:rsidP="002F4F99">
      <w:pPr>
        <w:pStyle w:val="ListParagraph"/>
        <w:numPr>
          <w:ilvl w:val="0"/>
          <w:numId w:val="15"/>
        </w:numPr>
        <w:spacing w:after="0" w:line="240" w:lineRule="auto"/>
        <w:rPr>
          <w:rFonts w:cs="Calibri"/>
        </w:rPr>
      </w:pPr>
      <w:r w:rsidRPr="00DB30F1">
        <w:rPr>
          <w:rFonts w:cs="Calibri"/>
        </w:rPr>
        <w:t xml:space="preserve">Reference system for salaries; and </w:t>
      </w:r>
    </w:p>
    <w:p w:rsidR="002F4F99" w:rsidRPr="00DB30F1" w:rsidRDefault="002F4F99" w:rsidP="002F4F99">
      <w:pPr>
        <w:pStyle w:val="ListParagraph"/>
        <w:numPr>
          <w:ilvl w:val="0"/>
          <w:numId w:val="15"/>
        </w:numPr>
        <w:spacing w:after="0" w:line="240" w:lineRule="auto"/>
        <w:rPr>
          <w:rFonts w:cs="Calibri"/>
        </w:rPr>
      </w:pPr>
      <w:r w:rsidRPr="00DB30F1">
        <w:rPr>
          <w:rFonts w:cs="Calibri"/>
        </w:rPr>
        <w:t>Change and termination of employment contract.</w:t>
      </w:r>
    </w:p>
    <w:p w:rsidR="001B642F" w:rsidRPr="00DB30F1" w:rsidRDefault="001B642F" w:rsidP="003E4FC2">
      <w:pPr>
        <w:spacing w:after="0" w:line="240" w:lineRule="auto"/>
        <w:jc w:val="both"/>
        <w:rPr>
          <w:rFonts w:cs="Calibri"/>
        </w:rPr>
      </w:pPr>
    </w:p>
    <w:p w:rsidR="00B101CE" w:rsidRPr="00DB30F1" w:rsidRDefault="00B101CE" w:rsidP="002356BE">
      <w:pPr>
        <w:spacing w:after="0" w:line="240" w:lineRule="auto"/>
        <w:jc w:val="both"/>
        <w:rPr>
          <w:rFonts w:cs="Calibri"/>
          <w:b/>
        </w:rPr>
      </w:pPr>
    </w:p>
    <w:sectPr w:rsidR="00B101CE" w:rsidRPr="00DB30F1" w:rsidSect="00876FEA">
      <w:headerReference w:type="default" r:id="rId26"/>
      <w:footerReference w:type="default" r:id="rId27"/>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43C" w:rsidRDefault="00D2443C" w:rsidP="00EC539D">
      <w:pPr>
        <w:spacing w:after="0" w:line="240" w:lineRule="auto"/>
      </w:pPr>
      <w:r>
        <w:separator/>
      </w:r>
    </w:p>
  </w:endnote>
  <w:endnote w:type="continuationSeparator" w:id="0">
    <w:p w:rsidR="00D2443C" w:rsidRDefault="00D2443C" w:rsidP="00EC5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43C" w:rsidRDefault="00D2443C" w:rsidP="00980EE6">
    <w:pPr>
      <w:pStyle w:val="Footer"/>
      <w:pBdr>
        <w:top w:val="single" w:sz="4" w:space="1" w:color="D9D9D9"/>
      </w:pBdr>
      <w:rPr>
        <w:b/>
        <w:bCs/>
      </w:rPr>
    </w:pPr>
    <w:r>
      <w:fldChar w:fldCharType="begin"/>
    </w:r>
    <w:r>
      <w:instrText xml:space="preserve"> PAGE   \* MERGEFORMAT </w:instrText>
    </w:r>
    <w:r>
      <w:fldChar w:fldCharType="separate"/>
    </w:r>
    <w:r w:rsidR="00AF41E0" w:rsidRPr="00AF41E0">
      <w:rPr>
        <w:b/>
        <w:bCs/>
        <w:noProof/>
      </w:rPr>
      <w:t>27</w:t>
    </w:r>
    <w:r>
      <w:rPr>
        <w:b/>
        <w:bCs/>
        <w:noProof/>
      </w:rPr>
      <w:fldChar w:fldCharType="end"/>
    </w:r>
    <w:r>
      <w:rPr>
        <w:b/>
        <w:bCs/>
      </w:rPr>
      <w:t xml:space="preserve"> | </w:t>
    </w:r>
    <w:r w:rsidRPr="00980EE6">
      <w:rPr>
        <w:color w:val="808080"/>
        <w:spacing w:val="60"/>
      </w:rPr>
      <w:t>Page</w:t>
    </w:r>
  </w:p>
  <w:p w:rsidR="00D2443C" w:rsidRDefault="00D244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43C" w:rsidRDefault="00D2443C" w:rsidP="00EC539D">
      <w:pPr>
        <w:spacing w:after="0" w:line="240" w:lineRule="auto"/>
      </w:pPr>
      <w:r>
        <w:separator/>
      </w:r>
    </w:p>
  </w:footnote>
  <w:footnote w:type="continuationSeparator" w:id="0">
    <w:p w:rsidR="00D2443C" w:rsidRDefault="00D2443C" w:rsidP="00EC5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43C" w:rsidRDefault="00D2443C" w:rsidP="005B00C4">
    <w:pPr>
      <w:pStyle w:val="Header"/>
      <w:tabs>
        <w:tab w:val="left" w:pos="7924"/>
      </w:tabs>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1A09"/>
    <w:multiLevelType w:val="hybridMultilevel"/>
    <w:tmpl w:val="DE3C6298"/>
    <w:lvl w:ilvl="0" w:tplc="AB60EBFC">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nsid w:val="03D24168"/>
    <w:multiLevelType w:val="hybridMultilevel"/>
    <w:tmpl w:val="D90632E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nsid w:val="14AE7B2D"/>
    <w:multiLevelType w:val="hybridMultilevel"/>
    <w:tmpl w:val="873224F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2CE91B6B"/>
    <w:multiLevelType w:val="hybridMultilevel"/>
    <w:tmpl w:val="3CD2C55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nsid w:val="2E3573C1"/>
    <w:multiLevelType w:val="hybridMultilevel"/>
    <w:tmpl w:val="F0A4609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nsid w:val="365526C4"/>
    <w:multiLevelType w:val="hybridMultilevel"/>
    <w:tmpl w:val="5316EB3C"/>
    <w:lvl w:ilvl="0" w:tplc="5824F178">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nsid w:val="42515219"/>
    <w:multiLevelType w:val="hybridMultilevel"/>
    <w:tmpl w:val="93C8D7C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4EC947AE"/>
    <w:multiLevelType w:val="hybridMultilevel"/>
    <w:tmpl w:val="44D4CB4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nsid w:val="56041B36"/>
    <w:multiLevelType w:val="hybridMultilevel"/>
    <w:tmpl w:val="997C8EA2"/>
    <w:lvl w:ilvl="0" w:tplc="EB7A2AE2">
      <w:start w:val="7"/>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nsid w:val="6DBE5F14"/>
    <w:multiLevelType w:val="hybridMultilevel"/>
    <w:tmpl w:val="BA9EE9F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nsid w:val="71922FA7"/>
    <w:multiLevelType w:val="hybridMultilevel"/>
    <w:tmpl w:val="CC3225D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nsid w:val="7ADD3271"/>
    <w:multiLevelType w:val="hybridMultilevel"/>
    <w:tmpl w:val="D4D0F14C"/>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nsid w:val="7C2558C7"/>
    <w:multiLevelType w:val="hybridMultilevel"/>
    <w:tmpl w:val="9A7632CE"/>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7F386159"/>
    <w:multiLevelType w:val="hybridMultilevel"/>
    <w:tmpl w:val="EC3EA764"/>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7F995ADB"/>
    <w:multiLevelType w:val="hybridMultilevel"/>
    <w:tmpl w:val="B3FC6AD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11"/>
  </w:num>
  <w:num w:numId="4">
    <w:abstractNumId w:val="6"/>
  </w:num>
  <w:num w:numId="5">
    <w:abstractNumId w:val="2"/>
  </w:num>
  <w:num w:numId="6">
    <w:abstractNumId w:val="12"/>
  </w:num>
  <w:num w:numId="7">
    <w:abstractNumId w:val="8"/>
  </w:num>
  <w:num w:numId="8">
    <w:abstractNumId w:val="13"/>
  </w:num>
  <w:num w:numId="9">
    <w:abstractNumId w:val="14"/>
  </w:num>
  <w:num w:numId="10">
    <w:abstractNumId w:val="3"/>
  </w:num>
  <w:num w:numId="11">
    <w:abstractNumId w:val="9"/>
  </w:num>
  <w:num w:numId="12">
    <w:abstractNumId w:val="7"/>
  </w:num>
  <w:num w:numId="13">
    <w:abstractNumId w:val="4"/>
  </w:num>
  <w:num w:numId="14">
    <w:abstractNumId w:val="1"/>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39D"/>
    <w:rsid w:val="00000CF2"/>
    <w:rsid w:val="0000647E"/>
    <w:rsid w:val="00010691"/>
    <w:rsid w:val="00011DD2"/>
    <w:rsid w:val="00012C65"/>
    <w:rsid w:val="000139EA"/>
    <w:rsid w:val="00013D74"/>
    <w:rsid w:val="00013E1B"/>
    <w:rsid w:val="00014583"/>
    <w:rsid w:val="00020BA2"/>
    <w:rsid w:val="00025E09"/>
    <w:rsid w:val="00025F5A"/>
    <w:rsid w:val="00034987"/>
    <w:rsid w:val="0003543A"/>
    <w:rsid w:val="00035502"/>
    <w:rsid w:val="0004086A"/>
    <w:rsid w:val="00040FC5"/>
    <w:rsid w:val="0004155B"/>
    <w:rsid w:val="0004315D"/>
    <w:rsid w:val="0004369E"/>
    <w:rsid w:val="000437B8"/>
    <w:rsid w:val="00045E33"/>
    <w:rsid w:val="00051EB0"/>
    <w:rsid w:val="000541CC"/>
    <w:rsid w:val="00054C15"/>
    <w:rsid w:val="000558DA"/>
    <w:rsid w:val="00060154"/>
    <w:rsid w:val="0006117F"/>
    <w:rsid w:val="00063CDF"/>
    <w:rsid w:val="00064F0B"/>
    <w:rsid w:val="0007011F"/>
    <w:rsid w:val="000703DA"/>
    <w:rsid w:val="000718AD"/>
    <w:rsid w:val="00073D04"/>
    <w:rsid w:val="00075FFD"/>
    <w:rsid w:val="000806D7"/>
    <w:rsid w:val="000808FC"/>
    <w:rsid w:val="000820C4"/>
    <w:rsid w:val="00082316"/>
    <w:rsid w:val="00083F57"/>
    <w:rsid w:val="00084BA2"/>
    <w:rsid w:val="00087028"/>
    <w:rsid w:val="00087BB4"/>
    <w:rsid w:val="00087FC1"/>
    <w:rsid w:val="00093EAB"/>
    <w:rsid w:val="000B0893"/>
    <w:rsid w:val="000B7442"/>
    <w:rsid w:val="000C2E57"/>
    <w:rsid w:val="000D2C09"/>
    <w:rsid w:val="000D4255"/>
    <w:rsid w:val="000D42AC"/>
    <w:rsid w:val="000D5C09"/>
    <w:rsid w:val="000E3A20"/>
    <w:rsid w:val="000E3E3E"/>
    <w:rsid w:val="000F3312"/>
    <w:rsid w:val="000F58F8"/>
    <w:rsid w:val="000F7791"/>
    <w:rsid w:val="000F78F7"/>
    <w:rsid w:val="0010041D"/>
    <w:rsid w:val="00102DF7"/>
    <w:rsid w:val="0010422E"/>
    <w:rsid w:val="0010735D"/>
    <w:rsid w:val="001074E8"/>
    <w:rsid w:val="001104A3"/>
    <w:rsid w:val="00110DB7"/>
    <w:rsid w:val="00111A22"/>
    <w:rsid w:val="0011706B"/>
    <w:rsid w:val="001178D6"/>
    <w:rsid w:val="001207E4"/>
    <w:rsid w:val="00120A99"/>
    <w:rsid w:val="00124B1C"/>
    <w:rsid w:val="00124D39"/>
    <w:rsid w:val="00125EE8"/>
    <w:rsid w:val="00133BB6"/>
    <w:rsid w:val="00137125"/>
    <w:rsid w:val="00140F47"/>
    <w:rsid w:val="00153067"/>
    <w:rsid w:val="00153FE5"/>
    <w:rsid w:val="00154397"/>
    <w:rsid w:val="001545C4"/>
    <w:rsid w:val="001545E1"/>
    <w:rsid w:val="001552B0"/>
    <w:rsid w:val="00157FA8"/>
    <w:rsid w:val="00161C24"/>
    <w:rsid w:val="001677A2"/>
    <w:rsid w:val="00174E0C"/>
    <w:rsid w:val="00176436"/>
    <w:rsid w:val="00177ECA"/>
    <w:rsid w:val="001839D7"/>
    <w:rsid w:val="0019124C"/>
    <w:rsid w:val="00193F16"/>
    <w:rsid w:val="00194662"/>
    <w:rsid w:val="00196B30"/>
    <w:rsid w:val="001A2083"/>
    <w:rsid w:val="001A5D50"/>
    <w:rsid w:val="001A62CB"/>
    <w:rsid w:val="001B2D18"/>
    <w:rsid w:val="001B2DD9"/>
    <w:rsid w:val="001B642F"/>
    <w:rsid w:val="001C0366"/>
    <w:rsid w:val="001C69F3"/>
    <w:rsid w:val="001C6CB2"/>
    <w:rsid w:val="001C7573"/>
    <w:rsid w:val="001D3E46"/>
    <w:rsid w:val="001D48B6"/>
    <w:rsid w:val="001E5FE4"/>
    <w:rsid w:val="001E6961"/>
    <w:rsid w:val="001F0EB8"/>
    <w:rsid w:val="001F1136"/>
    <w:rsid w:val="001F4FE5"/>
    <w:rsid w:val="001F5DA5"/>
    <w:rsid w:val="001F7734"/>
    <w:rsid w:val="00206EEA"/>
    <w:rsid w:val="0021009E"/>
    <w:rsid w:val="0021246A"/>
    <w:rsid w:val="0021759C"/>
    <w:rsid w:val="00217A84"/>
    <w:rsid w:val="00217BE8"/>
    <w:rsid w:val="00225B6C"/>
    <w:rsid w:val="00230381"/>
    <w:rsid w:val="002328F7"/>
    <w:rsid w:val="002347B3"/>
    <w:rsid w:val="00234E8F"/>
    <w:rsid w:val="002356BE"/>
    <w:rsid w:val="00235C82"/>
    <w:rsid w:val="002410CD"/>
    <w:rsid w:val="0024369C"/>
    <w:rsid w:val="00244660"/>
    <w:rsid w:val="00244736"/>
    <w:rsid w:val="002462F6"/>
    <w:rsid w:val="00253133"/>
    <w:rsid w:val="00257991"/>
    <w:rsid w:val="002602A1"/>
    <w:rsid w:val="00265DF3"/>
    <w:rsid w:val="00271E1B"/>
    <w:rsid w:val="002751AC"/>
    <w:rsid w:val="00276952"/>
    <w:rsid w:val="00276F8B"/>
    <w:rsid w:val="00280C63"/>
    <w:rsid w:val="002816AC"/>
    <w:rsid w:val="00281D72"/>
    <w:rsid w:val="002825EC"/>
    <w:rsid w:val="002848C3"/>
    <w:rsid w:val="0028638F"/>
    <w:rsid w:val="002911FF"/>
    <w:rsid w:val="00291391"/>
    <w:rsid w:val="002A1FFA"/>
    <w:rsid w:val="002A23CD"/>
    <w:rsid w:val="002A242E"/>
    <w:rsid w:val="002A65F7"/>
    <w:rsid w:val="002B0211"/>
    <w:rsid w:val="002B18B6"/>
    <w:rsid w:val="002B3851"/>
    <w:rsid w:val="002B431E"/>
    <w:rsid w:val="002C0D85"/>
    <w:rsid w:val="002C44EE"/>
    <w:rsid w:val="002C6340"/>
    <w:rsid w:val="002C7DC0"/>
    <w:rsid w:val="002D0444"/>
    <w:rsid w:val="002D6A43"/>
    <w:rsid w:val="002E0C9E"/>
    <w:rsid w:val="002E25A0"/>
    <w:rsid w:val="002F4F99"/>
    <w:rsid w:val="002F6326"/>
    <w:rsid w:val="002F7AFC"/>
    <w:rsid w:val="003005DC"/>
    <w:rsid w:val="0030791B"/>
    <w:rsid w:val="00307E3D"/>
    <w:rsid w:val="003126F7"/>
    <w:rsid w:val="003177E2"/>
    <w:rsid w:val="00320C2B"/>
    <w:rsid w:val="00321CBA"/>
    <w:rsid w:val="00323EDF"/>
    <w:rsid w:val="003414BB"/>
    <w:rsid w:val="00345CBB"/>
    <w:rsid w:val="00352618"/>
    <w:rsid w:val="00352D02"/>
    <w:rsid w:val="0035320D"/>
    <w:rsid w:val="00353443"/>
    <w:rsid w:val="003546A9"/>
    <w:rsid w:val="00355804"/>
    <w:rsid w:val="00364721"/>
    <w:rsid w:val="00367AB7"/>
    <w:rsid w:val="00375437"/>
    <w:rsid w:val="0037767F"/>
    <w:rsid w:val="00380303"/>
    <w:rsid w:val="0038467D"/>
    <w:rsid w:val="00386584"/>
    <w:rsid w:val="00387129"/>
    <w:rsid w:val="00391270"/>
    <w:rsid w:val="003942FA"/>
    <w:rsid w:val="003964DF"/>
    <w:rsid w:val="003A18D7"/>
    <w:rsid w:val="003A5D86"/>
    <w:rsid w:val="003B3B4E"/>
    <w:rsid w:val="003B7D63"/>
    <w:rsid w:val="003C0146"/>
    <w:rsid w:val="003C1D92"/>
    <w:rsid w:val="003C3151"/>
    <w:rsid w:val="003C4135"/>
    <w:rsid w:val="003C6B64"/>
    <w:rsid w:val="003C734A"/>
    <w:rsid w:val="003D0557"/>
    <w:rsid w:val="003E1F6E"/>
    <w:rsid w:val="003E1FFC"/>
    <w:rsid w:val="003E299F"/>
    <w:rsid w:val="003E4FC2"/>
    <w:rsid w:val="003F13B5"/>
    <w:rsid w:val="003F13E5"/>
    <w:rsid w:val="003F438D"/>
    <w:rsid w:val="00400ED1"/>
    <w:rsid w:val="00401A66"/>
    <w:rsid w:val="00413327"/>
    <w:rsid w:val="00413911"/>
    <w:rsid w:val="00423095"/>
    <w:rsid w:val="0043045E"/>
    <w:rsid w:val="00435AEB"/>
    <w:rsid w:val="00435C44"/>
    <w:rsid w:val="00440E60"/>
    <w:rsid w:val="00440F6D"/>
    <w:rsid w:val="00446F7C"/>
    <w:rsid w:val="00450BD5"/>
    <w:rsid w:val="004520B7"/>
    <w:rsid w:val="004547AB"/>
    <w:rsid w:val="004549B0"/>
    <w:rsid w:val="00454A8D"/>
    <w:rsid w:val="00456308"/>
    <w:rsid w:val="00456A46"/>
    <w:rsid w:val="004615BC"/>
    <w:rsid w:val="004619F2"/>
    <w:rsid w:val="004670A6"/>
    <w:rsid w:val="00472CCD"/>
    <w:rsid w:val="00476208"/>
    <w:rsid w:val="00484E34"/>
    <w:rsid w:val="0049173C"/>
    <w:rsid w:val="00491914"/>
    <w:rsid w:val="004924AD"/>
    <w:rsid w:val="00492CDF"/>
    <w:rsid w:val="00496167"/>
    <w:rsid w:val="00496825"/>
    <w:rsid w:val="00497B13"/>
    <w:rsid w:val="004A1608"/>
    <w:rsid w:val="004A7338"/>
    <w:rsid w:val="004B0281"/>
    <w:rsid w:val="004B058D"/>
    <w:rsid w:val="004B3423"/>
    <w:rsid w:val="004B6754"/>
    <w:rsid w:val="004C1927"/>
    <w:rsid w:val="004C647B"/>
    <w:rsid w:val="004C7521"/>
    <w:rsid w:val="004D0CE8"/>
    <w:rsid w:val="004D19FA"/>
    <w:rsid w:val="004D47E1"/>
    <w:rsid w:val="004D5ED9"/>
    <w:rsid w:val="004E3E78"/>
    <w:rsid w:val="004F6A67"/>
    <w:rsid w:val="00500984"/>
    <w:rsid w:val="00507DE6"/>
    <w:rsid w:val="00510D91"/>
    <w:rsid w:val="00512BDF"/>
    <w:rsid w:val="00523254"/>
    <w:rsid w:val="00524FE3"/>
    <w:rsid w:val="0052500F"/>
    <w:rsid w:val="00527D3F"/>
    <w:rsid w:val="00531D1F"/>
    <w:rsid w:val="005362B6"/>
    <w:rsid w:val="005362C8"/>
    <w:rsid w:val="00537620"/>
    <w:rsid w:val="00537DBF"/>
    <w:rsid w:val="00541ED6"/>
    <w:rsid w:val="005505AB"/>
    <w:rsid w:val="005514E0"/>
    <w:rsid w:val="00553648"/>
    <w:rsid w:val="005602A7"/>
    <w:rsid w:val="00565687"/>
    <w:rsid w:val="0056609E"/>
    <w:rsid w:val="00567C85"/>
    <w:rsid w:val="00570E77"/>
    <w:rsid w:val="005740B5"/>
    <w:rsid w:val="005751E2"/>
    <w:rsid w:val="00582C36"/>
    <w:rsid w:val="00586A4E"/>
    <w:rsid w:val="00586EBC"/>
    <w:rsid w:val="00586F78"/>
    <w:rsid w:val="00590710"/>
    <w:rsid w:val="00592CF2"/>
    <w:rsid w:val="0059514A"/>
    <w:rsid w:val="005968D5"/>
    <w:rsid w:val="00597329"/>
    <w:rsid w:val="00597A93"/>
    <w:rsid w:val="005A1CF8"/>
    <w:rsid w:val="005A5163"/>
    <w:rsid w:val="005B00C4"/>
    <w:rsid w:val="005B0E84"/>
    <w:rsid w:val="005B2E16"/>
    <w:rsid w:val="005B45FD"/>
    <w:rsid w:val="005C05C6"/>
    <w:rsid w:val="005C1ABD"/>
    <w:rsid w:val="005C4BA3"/>
    <w:rsid w:val="005D7BB1"/>
    <w:rsid w:val="005E0999"/>
    <w:rsid w:val="005E193B"/>
    <w:rsid w:val="005E1986"/>
    <w:rsid w:val="005E2BA7"/>
    <w:rsid w:val="005E46CD"/>
    <w:rsid w:val="005E4D5F"/>
    <w:rsid w:val="005F0F41"/>
    <w:rsid w:val="005F236F"/>
    <w:rsid w:val="005F3E91"/>
    <w:rsid w:val="006014CD"/>
    <w:rsid w:val="0060307B"/>
    <w:rsid w:val="00610633"/>
    <w:rsid w:val="00610E80"/>
    <w:rsid w:val="006166BE"/>
    <w:rsid w:val="006172A6"/>
    <w:rsid w:val="00620A83"/>
    <w:rsid w:val="00620BA4"/>
    <w:rsid w:val="00622BE4"/>
    <w:rsid w:val="00622D0F"/>
    <w:rsid w:val="00623001"/>
    <w:rsid w:val="00625F45"/>
    <w:rsid w:val="006327E1"/>
    <w:rsid w:val="006434A9"/>
    <w:rsid w:val="00646FE4"/>
    <w:rsid w:val="00647B4F"/>
    <w:rsid w:val="00647E35"/>
    <w:rsid w:val="00651B43"/>
    <w:rsid w:val="00653D0E"/>
    <w:rsid w:val="00655457"/>
    <w:rsid w:val="006669DE"/>
    <w:rsid w:val="006675BD"/>
    <w:rsid w:val="00684F68"/>
    <w:rsid w:val="00685D43"/>
    <w:rsid w:val="0069167F"/>
    <w:rsid w:val="00691A22"/>
    <w:rsid w:val="0069351E"/>
    <w:rsid w:val="0069799C"/>
    <w:rsid w:val="006A3649"/>
    <w:rsid w:val="006A466A"/>
    <w:rsid w:val="006A52B6"/>
    <w:rsid w:val="006A589B"/>
    <w:rsid w:val="006A6E54"/>
    <w:rsid w:val="006A7BE6"/>
    <w:rsid w:val="006B1572"/>
    <w:rsid w:val="006B2357"/>
    <w:rsid w:val="006B264E"/>
    <w:rsid w:val="006C0E21"/>
    <w:rsid w:val="006C2855"/>
    <w:rsid w:val="006C359E"/>
    <w:rsid w:val="006C5A31"/>
    <w:rsid w:val="006C6172"/>
    <w:rsid w:val="006E04BB"/>
    <w:rsid w:val="006E6110"/>
    <w:rsid w:val="006E77F2"/>
    <w:rsid w:val="006F2F11"/>
    <w:rsid w:val="006F6242"/>
    <w:rsid w:val="006F635F"/>
    <w:rsid w:val="00704F4C"/>
    <w:rsid w:val="0070789A"/>
    <w:rsid w:val="0070797D"/>
    <w:rsid w:val="00711191"/>
    <w:rsid w:val="007138EA"/>
    <w:rsid w:val="00714C4B"/>
    <w:rsid w:val="007173E8"/>
    <w:rsid w:val="00724A4D"/>
    <w:rsid w:val="00726957"/>
    <w:rsid w:val="00727180"/>
    <w:rsid w:val="00735808"/>
    <w:rsid w:val="0073728F"/>
    <w:rsid w:val="00745762"/>
    <w:rsid w:val="00746765"/>
    <w:rsid w:val="007510E8"/>
    <w:rsid w:val="00755F49"/>
    <w:rsid w:val="00760B43"/>
    <w:rsid w:val="0076679A"/>
    <w:rsid w:val="00770402"/>
    <w:rsid w:val="0077203D"/>
    <w:rsid w:val="00781F2D"/>
    <w:rsid w:val="00790799"/>
    <w:rsid w:val="00794083"/>
    <w:rsid w:val="00794A8E"/>
    <w:rsid w:val="007A0498"/>
    <w:rsid w:val="007A05AD"/>
    <w:rsid w:val="007A0C5C"/>
    <w:rsid w:val="007A4291"/>
    <w:rsid w:val="007A46B8"/>
    <w:rsid w:val="007A6B03"/>
    <w:rsid w:val="007A6B38"/>
    <w:rsid w:val="007B1198"/>
    <w:rsid w:val="007B2391"/>
    <w:rsid w:val="007B346E"/>
    <w:rsid w:val="007B5A93"/>
    <w:rsid w:val="007B5EE0"/>
    <w:rsid w:val="007C44FB"/>
    <w:rsid w:val="007C7B06"/>
    <w:rsid w:val="007D4BF8"/>
    <w:rsid w:val="007D7F95"/>
    <w:rsid w:val="007E0415"/>
    <w:rsid w:val="007E4156"/>
    <w:rsid w:val="007E50AB"/>
    <w:rsid w:val="007E7993"/>
    <w:rsid w:val="007F26EE"/>
    <w:rsid w:val="007F48D2"/>
    <w:rsid w:val="00806B09"/>
    <w:rsid w:val="00807B0E"/>
    <w:rsid w:val="008113B3"/>
    <w:rsid w:val="00811D4C"/>
    <w:rsid w:val="008141A0"/>
    <w:rsid w:val="00815D01"/>
    <w:rsid w:val="008167E4"/>
    <w:rsid w:val="00826165"/>
    <w:rsid w:val="00836914"/>
    <w:rsid w:val="0084473D"/>
    <w:rsid w:val="00844CA9"/>
    <w:rsid w:val="00846A10"/>
    <w:rsid w:val="00851221"/>
    <w:rsid w:val="0085200D"/>
    <w:rsid w:val="00853DB4"/>
    <w:rsid w:val="00854752"/>
    <w:rsid w:val="0085481F"/>
    <w:rsid w:val="00856775"/>
    <w:rsid w:val="008574D3"/>
    <w:rsid w:val="00863C28"/>
    <w:rsid w:val="00865274"/>
    <w:rsid w:val="00870469"/>
    <w:rsid w:val="00873D5C"/>
    <w:rsid w:val="00875D8B"/>
    <w:rsid w:val="00876FEA"/>
    <w:rsid w:val="0088357A"/>
    <w:rsid w:val="00884A7C"/>
    <w:rsid w:val="00884F27"/>
    <w:rsid w:val="00884FBC"/>
    <w:rsid w:val="00893091"/>
    <w:rsid w:val="00896653"/>
    <w:rsid w:val="008A4A0E"/>
    <w:rsid w:val="008A5A68"/>
    <w:rsid w:val="008A6DAC"/>
    <w:rsid w:val="008B150D"/>
    <w:rsid w:val="008B3900"/>
    <w:rsid w:val="008B771D"/>
    <w:rsid w:val="008C5E91"/>
    <w:rsid w:val="008C6CD7"/>
    <w:rsid w:val="008C734F"/>
    <w:rsid w:val="008D2E8A"/>
    <w:rsid w:val="008D3C32"/>
    <w:rsid w:val="008D4052"/>
    <w:rsid w:val="008E0F51"/>
    <w:rsid w:val="008E3E15"/>
    <w:rsid w:val="008E4CBD"/>
    <w:rsid w:val="008E5B64"/>
    <w:rsid w:val="008E5E17"/>
    <w:rsid w:val="008E74CE"/>
    <w:rsid w:val="008E7D0C"/>
    <w:rsid w:val="008F22FE"/>
    <w:rsid w:val="008F252B"/>
    <w:rsid w:val="008F565B"/>
    <w:rsid w:val="00900099"/>
    <w:rsid w:val="00904900"/>
    <w:rsid w:val="0091485A"/>
    <w:rsid w:val="00916819"/>
    <w:rsid w:val="009210BE"/>
    <w:rsid w:val="00922EAC"/>
    <w:rsid w:val="009270D8"/>
    <w:rsid w:val="009300AD"/>
    <w:rsid w:val="0093036C"/>
    <w:rsid w:val="0093045F"/>
    <w:rsid w:val="0093053D"/>
    <w:rsid w:val="00932D1F"/>
    <w:rsid w:val="00933525"/>
    <w:rsid w:val="0093456B"/>
    <w:rsid w:val="0093544C"/>
    <w:rsid w:val="00940F59"/>
    <w:rsid w:val="00950F25"/>
    <w:rsid w:val="00951052"/>
    <w:rsid w:val="00952D6D"/>
    <w:rsid w:val="0095623A"/>
    <w:rsid w:val="0095721B"/>
    <w:rsid w:val="009620D5"/>
    <w:rsid w:val="00965430"/>
    <w:rsid w:val="009710D6"/>
    <w:rsid w:val="00971C5C"/>
    <w:rsid w:val="00971CCF"/>
    <w:rsid w:val="00973CF2"/>
    <w:rsid w:val="00973F7C"/>
    <w:rsid w:val="00977B21"/>
    <w:rsid w:val="00980EE6"/>
    <w:rsid w:val="00981971"/>
    <w:rsid w:val="0098568F"/>
    <w:rsid w:val="00985B28"/>
    <w:rsid w:val="009860F4"/>
    <w:rsid w:val="00996721"/>
    <w:rsid w:val="009A026C"/>
    <w:rsid w:val="009A05A4"/>
    <w:rsid w:val="009A3AD8"/>
    <w:rsid w:val="009A406A"/>
    <w:rsid w:val="009A4A43"/>
    <w:rsid w:val="009A4EED"/>
    <w:rsid w:val="009A76C1"/>
    <w:rsid w:val="009B1D76"/>
    <w:rsid w:val="009B3961"/>
    <w:rsid w:val="009B3E36"/>
    <w:rsid w:val="009B66F8"/>
    <w:rsid w:val="009C02B6"/>
    <w:rsid w:val="009C12F2"/>
    <w:rsid w:val="009C1427"/>
    <w:rsid w:val="009C26ED"/>
    <w:rsid w:val="009C2829"/>
    <w:rsid w:val="009C3912"/>
    <w:rsid w:val="009C5B17"/>
    <w:rsid w:val="009D055C"/>
    <w:rsid w:val="009D42D4"/>
    <w:rsid w:val="009D47E8"/>
    <w:rsid w:val="009D72C2"/>
    <w:rsid w:val="009D7BFA"/>
    <w:rsid w:val="009E0119"/>
    <w:rsid w:val="009E13D0"/>
    <w:rsid w:val="009F13C1"/>
    <w:rsid w:val="009F1F7E"/>
    <w:rsid w:val="009F2A64"/>
    <w:rsid w:val="009F4653"/>
    <w:rsid w:val="009F793D"/>
    <w:rsid w:val="00A00BD1"/>
    <w:rsid w:val="00A01397"/>
    <w:rsid w:val="00A1264F"/>
    <w:rsid w:val="00A134AE"/>
    <w:rsid w:val="00A1610B"/>
    <w:rsid w:val="00A218C6"/>
    <w:rsid w:val="00A23A00"/>
    <w:rsid w:val="00A3603C"/>
    <w:rsid w:val="00A36960"/>
    <w:rsid w:val="00A424D1"/>
    <w:rsid w:val="00A42BAD"/>
    <w:rsid w:val="00A4357B"/>
    <w:rsid w:val="00A57685"/>
    <w:rsid w:val="00A576A6"/>
    <w:rsid w:val="00A662B7"/>
    <w:rsid w:val="00A6662A"/>
    <w:rsid w:val="00A7082A"/>
    <w:rsid w:val="00A77CB0"/>
    <w:rsid w:val="00A81ABF"/>
    <w:rsid w:val="00A84846"/>
    <w:rsid w:val="00A93DEC"/>
    <w:rsid w:val="00A96327"/>
    <w:rsid w:val="00AA2DC5"/>
    <w:rsid w:val="00AB1536"/>
    <w:rsid w:val="00AB2596"/>
    <w:rsid w:val="00AB3631"/>
    <w:rsid w:val="00AB46D3"/>
    <w:rsid w:val="00AB6955"/>
    <w:rsid w:val="00AC6BAF"/>
    <w:rsid w:val="00AC6BCD"/>
    <w:rsid w:val="00AD2E3E"/>
    <w:rsid w:val="00AD6F49"/>
    <w:rsid w:val="00AE1824"/>
    <w:rsid w:val="00AE3603"/>
    <w:rsid w:val="00AE38AB"/>
    <w:rsid w:val="00AF0110"/>
    <w:rsid w:val="00AF10B6"/>
    <w:rsid w:val="00AF32DE"/>
    <w:rsid w:val="00AF41E0"/>
    <w:rsid w:val="00AF4B62"/>
    <w:rsid w:val="00AF4E67"/>
    <w:rsid w:val="00AF6F15"/>
    <w:rsid w:val="00AF7857"/>
    <w:rsid w:val="00B00C32"/>
    <w:rsid w:val="00B06F0A"/>
    <w:rsid w:val="00B077B0"/>
    <w:rsid w:val="00B101CE"/>
    <w:rsid w:val="00B12945"/>
    <w:rsid w:val="00B14987"/>
    <w:rsid w:val="00B176FB"/>
    <w:rsid w:val="00B250AF"/>
    <w:rsid w:val="00B30A96"/>
    <w:rsid w:val="00B3243D"/>
    <w:rsid w:val="00B41288"/>
    <w:rsid w:val="00B4235F"/>
    <w:rsid w:val="00B42BA5"/>
    <w:rsid w:val="00B431D1"/>
    <w:rsid w:val="00B43DD4"/>
    <w:rsid w:val="00B45C95"/>
    <w:rsid w:val="00B57C1C"/>
    <w:rsid w:val="00B60A7D"/>
    <w:rsid w:val="00B61E62"/>
    <w:rsid w:val="00B61EF1"/>
    <w:rsid w:val="00B625EA"/>
    <w:rsid w:val="00B65B18"/>
    <w:rsid w:val="00B71477"/>
    <w:rsid w:val="00B72D30"/>
    <w:rsid w:val="00B80524"/>
    <w:rsid w:val="00B867E2"/>
    <w:rsid w:val="00B921B2"/>
    <w:rsid w:val="00B92305"/>
    <w:rsid w:val="00B9254D"/>
    <w:rsid w:val="00B92ED7"/>
    <w:rsid w:val="00B946F2"/>
    <w:rsid w:val="00B95851"/>
    <w:rsid w:val="00BA197F"/>
    <w:rsid w:val="00BA2EDB"/>
    <w:rsid w:val="00BA6B47"/>
    <w:rsid w:val="00BA759F"/>
    <w:rsid w:val="00BB00BD"/>
    <w:rsid w:val="00BB72DC"/>
    <w:rsid w:val="00BB7AEE"/>
    <w:rsid w:val="00BC0D8D"/>
    <w:rsid w:val="00BC1CF4"/>
    <w:rsid w:val="00BC2EBD"/>
    <w:rsid w:val="00BC5E9B"/>
    <w:rsid w:val="00BD2AC5"/>
    <w:rsid w:val="00BD2CBA"/>
    <w:rsid w:val="00BD6223"/>
    <w:rsid w:val="00BE00AB"/>
    <w:rsid w:val="00BE020A"/>
    <w:rsid w:val="00BE7EF5"/>
    <w:rsid w:val="00BF7835"/>
    <w:rsid w:val="00BF7925"/>
    <w:rsid w:val="00C0067B"/>
    <w:rsid w:val="00C00688"/>
    <w:rsid w:val="00C031D0"/>
    <w:rsid w:val="00C04461"/>
    <w:rsid w:val="00C1017E"/>
    <w:rsid w:val="00C10864"/>
    <w:rsid w:val="00C133A9"/>
    <w:rsid w:val="00C15271"/>
    <w:rsid w:val="00C21904"/>
    <w:rsid w:val="00C23822"/>
    <w:rsid w:val="00C26757"/>
    <w:rsid w:val="00C3067F"/>
    <w:rsid w:val="00C40E75"/>
    <w:rsid w:val="00C51993"/>
    <w:rsid w:val="00C5318D"/>
    <w:rsid w:val="00C5747D"/>
    <w:rsid w:val="00C609E3"/>
    <w:rsid w:val="00C72A05"/>
    <w:rsid w:val="00C742D0"/>
    <w:rsid w:val="00C74FB1"/>
    <w:rsid w:val="00C77E1F"/>
    <w:rsid w:val="00C811BB"/>
    <w:rsid w:val="00C82915"/>
    <w:rsid w:val="00C86871"/>
    <w:rsid w:val="00C9503D"/>
    <w:rsid w:val="00CA74E2"/>
    <w:rsid w:val="00CB15D0"/>
    <w:rsid w:val="00CB5D34"/>
    <w:rsid w:val="00CD07C1"/>
    <w:rsid w:val="00CD08A4"/>
    <w:rsid w:val="00CD0C6A"/>
    <w:rsid w:val="00CD19E4"/>
    <w:rsid w:val="00CD2FB4"/>
    <w:rsid w:val="00CD5581"/>
    <w:rsid w:val="00CE5AA3"/>
    <w:rsid w:val="00CF33B4"/>
    <w:rsid w:val="00CF5564"/>
    <w:rsid w:val="00CF6DB0"/>
    <w:rsid w:val="00CF7FE4"/>
    <w:rsid w:val="00D011FA"/>
    <w:rsid w:val="00D0578C"/>
    <w:rsid w:val="00D06B5D"/>
    <w:rsid w:val="00D06BDE"/>
    <w:rsid w:val="00D0779E"/>
    <w:rsid w:val="00D1060B"/>
    <w:rsid w:val="00D115E0"/>
    <w:rsid w:val="00D14479"/>
    <w:rsid w:val="00D14FA0"/>
    <w:rsid w:val="00D15191"/>
    <w:rsid w:val="00D17503"/>
    <w:rsid w:val="00D2404F"/>
    <w:rsid w:val="00D2443C"/>
    <w:rsid w:val="00D323F3"/>
    <w:rsid w:val="00D324BF"/>
    <w:rsid w:val="00D3301E"/>
    <w:rsid w:val="00D34A99"/>
    <w:rsid w:val="00D34B7D"/>
    <w:rsid w:val="00D37BF1"/>
    <w:rsid w:val="00D41136"/>
    <w:rsid w:val="00D469BF"/>
    <w:rsid w:val="00D50CE3"/>
    <w:rsid w:val="00D51984"/>
    <w:rsid w:val="00D51BF6"/>
    <w:rsid w:val="00D52371"/>
    <w:rsid w:val="00D5773D"/>
    <w:rsid w:val="00D61245"/>
    <w:rsid w:val="00D63216"/>
    <w:rsid w:val="00D63AEA"/>
    <w:rsid w:val="00D671C3"/>
    <w:rsid w:val="00D72C64"/>
    <w:rsid w:val="00D73425"/>
    <w:rsid w:val="00D744E2"/>
    <w:rsid w:val="00D85338"/>
    <w:rsid w:val="00D90C3B"/>
    <w:rsid w:val="00D94DB8"/>
    <w:rsid w:val="00D972EA"/>
    <w:rsid w:val="00D97C89"/>
    <w:rsid w:val="00DA0359"/>
    <w:rsid w:val="00DA2782"/>
    <w:rsid w:val="00DA38B8"/>
    <w:rsid w:val="00DA574D"/>
    <w:rsid w:val="00DA75A0"/>
    <w:rsid w:val="00DB30F1"/>
    <w:rsid w:val="00DB339A"/>
    <w:rsid w:val="00DC184F"/>
    <w:rsid w:val="00DC3D82"/>
    <w:rsid w:val="00DC4AC3"/>
    <w:rsid w:val="00DC6FFD"/>
    <w:rsid w:val="00DC776E"/>
    <w:rsid w:val="00DD293D"/>
    <w:rsid w:val="00DE1B17"/>
    <w:rsid w:val="00DE4286"/>
    <w:rsid w:val="00DE48F5"/>
    <w:rsid w:val="00DE4D61"/>
    <w:rsid w:val="00DF22C8"/>
    <w:rsid w:val="00E07E8C"/>
    <w:rsid w:val="00E11035"/>
    <w:rsid w:val="00E14947"/>
    <w:rsid w:val="00E161C3"/>
    <w:rsid w:val="00E16E66"/>
    <w:rsid w:val="00E17C45"/>
    <w:rsid w:val="00E22CA5"/>
    <w:rsid w:val="00E248F3"/>
    <w:rsid w:val="00E26AFF"/>
    <w:rsid w:val="00E26B9D"/>
    <w:rsid w:val="00E2727A"/>
    <w:rsid w:val="00E3171E"/>
    <w:rsid w:val="00E3174E"/>
    <w:rsid w:val="00E41A2F"/>
    <w:rsid w:val="00E43B43"/>
    <w:rsid w:val="00E50D13"/>
    <w:rsid w:val="00E530CB"/>
    <w:rsid w:val="00E54752"/>
    <w:rsid w:val="00E56127"/>
    <w:rsid w:val="00E629B7"/>
    <w:rsid w:val="00E645AF"/>
    <w:rsid w:val="00E64EDE"/>
    <w:rsid w:val="00E71614"/>
    <w:rsid w:val="00E72387"/>
    <w:rsid w:val="00E739C7"/>
    <w:rsid w:val="00E74D76"/>
    <w:rsid w:val="00E7553B"/>
    <w:rsid w:val="00E765F0"/>
    <w:rsid w:val="00E82C1A"/>
    <w:rsid w:val="00E8616C"/>
    <w:rsid w:val="00E86B3B"/>
    <w:rsid w:val="00E86EB2"/>
    <w:rsid w:val="00E92D5A"/>
    <w:rsid w:val="00E94372"/>
    <w:rsid w:val="00E9639A"/>
    <w:rsid w:val="00E96BDD"/>
    <w:rsid w:val="00EA1BED"/>
    <w:rsid w:val="00EA6F84"/>
    <w:rsid w:val="00EB00F9"/>
    <w:rsid w:val="00EC13CF"/>
    <w:rsid w:val="00EC3827"/>
    <w:rsid w:val="00EC3BDC"/>
    <w:rsid w:val="00EC4BFD"/>
    <w:rsid w:val="00EC4F66"/>
    <w:rsid w:val="00EC539D"/>
    <w:rsid w:val="00ED6210"/>
    <w:rsid w:val="00EF1E4C"/>
    <w:rsid w:val="00EF1F1F"/>
    <w:rsid w:val="00EF519D"/>
    <w:rsid w:val="00EF7E0E"/>
    <w:rsid w:val="00F00B71"/>
    <w:rsid w:val="00F0167C"/>
    <w:rsid w:val="00F11205"/>
    <w:rsid w:val="00F11857"/>
    <w:rsid w:val="00F169F9"/>
    <w:rsid w:val="00F1779F"/>
    <w:rsid w:val="00F2109A"/>
    <w:rsid w:val="00F217D6"/>
    <w:rsid w:val="00F24FC9"/>
    <w:rsid w:val="00F31899"/>
    <w:rsid w:val="00F32F43"/>
    <w:rsid w:val="00F335B1"/>
    <w:rsid w:val="00F367A3"/>
    <w:rsid w:val="00F41B38"/>
    <w:rsid w:val="00F438B8"/>
    <w:rsid w:val="00F44C3C"/>
    <w:rsid w:val="00F520A3"/>
    <w:rsid w:val="00F540FF"/>
    <w:rsid w:val="00F61AD3"/>
    <w:rsid w:val="00F6213E"/>
    <w:rsid w:val="00F6391E"/>
    <w:rsid w:val="00F664FF"/>
    <w:rsid w:val="00F74132"/>
    <w:rsid w:val="00F76EDC"/>
    <w:rsid w:val="00F847B0"/>
    <w:rsid w:val="00F92BCE"/>
    <w:rsid w:val="00F95932"/>
    <w:rsid w:val="00FA6781"/>
    <w:rsid w:val="00FB2722"/>
    <w:rsid w:val="00FB59F8"/>
    <w:rsid w:val="00FC18FD"/>
    <w:rsid w:val="00FC494A"/>
    <w:rsid w:val="00FD4D71"/>
    <w:rsid w:val="00FD55E5"/>
    <w:rsid w:val="00FD67D0"/>
    <w:rsid w:val="00FE1250"/>
    <w:rsid w:val="00FE20B4"/>
    <w:rsid w:val="00FE3DAB"/>
    <w:rsid w:val="00FF09EB"/>
    <w:rsid w:val="00FF4F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18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5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39D"/>
  </w:style>
  <w:style w:type="paragraph" w:styleId="Footer">
    <w:name w:val="footer"/>
    <w:basedOn w:val="Normal"/>
    <w:link w:val="FooterChar"/>
    <w:uiPriority w:val="99"/>
    <w:unhideWhenUsed/>
    <w:rsid w:val="00EC5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39D"/>
  </w:style>
  <w:style w:type="paragraph" w:styleId="ListParagraph">
    <w:name w:val="List Paragraph"/>
    <w:basedOn w:val="Normal"/>
    <w:uiPriority w:val="34"/>
    <w:qFormat/>
    <w:rsid w:val="00A57685"/>
    <w:pPr>
      <w:ind w:left="720"/>
      <w:contextualSpacing/>
    </w:pPr>
  </w:style>
  <w:style w:type="paragraph" w:styleId="BalloonText">
    <w:name w:val="Balloon Text"/>
    <w:basedOn w:val="Normal"/>
    <w:link w:val="BalloonTextChar"/>
    <w:uiPriority w:val="99"/>
    <w:semiHidden/>
    <w:unhideWhenUsed/>
    <w:rsid w:val="00C238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23822"/>
    <w:rPr>
      <w:rFonts w:ascii="Tahoma" w:hAnsi="Tahoma" w:cs="Tahoma"/>
      <w:sz w:val="16"/>
      <w:szCs w:val="16"/>
    </w:rPr>
  </w:style>
  <w:style w:type="character" w:styleId="CommentReference">
    <w:name w:val="annotation reference"/>
    <w:uiPriority w:val="99"/>
    <w:semiHidden/>
    <w:unhideWhenUsed/>
    <w:rsid w:val="003F438D"/>
    <w:rPr>
      <w:sz w:val="16"/>
      <w:szCs w:val="16"/>
    </w:rPr>
  </w:style>
  <w:style w:type="paragraph" w:styleId="CommentText">
    <w:name w:val="annotation text"/>
    <w:basedOn w:val="Normal"/>
    <w:link w:val="CommentTextChar"/>
    <w:uiPriority w:val="99"/>
    <w:semiHidden/>
    <w:unhideWhenUsed/>
    <w:rsid w:val="003F438D"/>
    <w:pPr>
      <w:spacing w:line="240" w:lineRule="auto"/>
    </w:pPr>
    <w:rPr>
      <w:sz w:val="20"/>
      <w:szCs w:val="20"/>
    </w:rPr>
  </w:style>
  <w:style w:type="character" w:customStyle="1" w:styleId="CommentTextChar">
    <w:name w:val="Comment Text Char"/>
    <w:link w:val="CommentText"/>
    <w:uiPriority w:val="99"/>
    <w:semiHidden/>
    <w:rsid w:val="003F438D"/>
    <w:rPr>
      <w:sz w:val="20"/>
      <w:szCs w:val="20"/>
    </w:rPr>
  </w:style>
  <w:style w:type="paragraph" w:styleId="CommentSubject">
    <w:name w:val="annotation subject"/>
    <w:basedOn w:val="CommentText"/>
    <w:next w:val="CommentText"/>
    <w:link w:val="CommentSubjectChar"/>
    <w:uiPriority w:val="99"/>
    <w:semiHidden/>
    <w:unhideWhenUsed/>
    <w:rsid w:val="003F438D"/>
    <w:rPr>
      <w:b/>
      <w:bCs/>
    </w:rPr>
  </w:style>
  <w:style w:type="character" w:customStyle="1" w:styleId="CommentSubjectChar">
    <w:name w:val="Comment Subject Char"/>
    <w:link w:val="CommentSubject"/>
    <w:uiPriority w:val="99"/>
    <w:semiHidden/>
    <w:rsid w:val="003F438D"/>
    <w:rPr>
      <w:b/>
      <w:bCs/>
      <w:sz w:val="20"/>
      <w:szCs w:val="20"/>
    </w:rPr>
  </w:style>
  <w:style w:type="paragraph" w:customStyle="1" w:styleId="t-9-8">
    <w:name w:val="t-9-8"/>
    <w:basedOn w:val="Normal"/>
    <w:rsid w:val="002F4F99"/>
    <w:pPr>
      <w:spacing w:before="100" w:beforeAutospacing="1" w:after="100" w:afterAutospacing="1" w:line="240" w:lineRule="auto"/>
    </w:pPr>
    <w:rPr>
      <w:rFonts w:ascii="Times New Roman" w:eastAsia="Times New Roman" w:hAnsi="Times New Roman"/>
      <w:sz w:val="24"/>
      <w:szCs w:val="24"/>
      <w:lang w:val="hr-HR"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18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5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39D"/>
  </w:style>
  <w:style w:type="paragraph" w:styleId="Footer">
    <w:name w:val="footer"/>
    <w:basedOn w:val="Normal"/>
    <w:link w:val="FooterChar"/>
    <w:uiPriority w:val="99"/>
    <w:unhideWhenUsed/>
    <w:rsid w:val="00EC5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39D"/>
  </w:style>
  <w:style w:type="paragraph" w:styleId="ListParagraph">
    <w:name w:val="List Paragraph"/>
    <w:basedOn w:val="Normal"/>
    <w:uiPriority w:val="34"/>
    <w:qFormat/>
    <w:rsid w:val="00A57685"/>
    <w:pPr>
      <w:ind w:left="720"/>
      <w:contextualSpacing/>
    </w:pPr>
  </w:style>
  <w:style w:type="paragraph" w:styleId="BalloonText">
    <w:name w:val="Balloon Text"/>
    <w:basedOn w:val="Normal"/>
    <w:link w:val="BalloonTextChar"/>
    <w:uiPriority w:val="99"/>
    <w:semiHidden/>
    <w:unhideWhenUsed/>
    <w:rsid w:val="00C238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23822"/>
    <w:rPr>
      <w:rFonts w:ascii="Tahoma" w:hAnsi="Tahoma" w:cs="Tahoma"/>
      <w:sz w:val="16"/>
      <w:szCs w:val="16"/>
    </w:rPr>
  </w:style>
  <w:style w:type="character" w:styleId="CommentReference">
    <w:name w:val="annotation reference"/>
    <w:uiPriority w:val="99"/>
    <w:semiHidden/>
    <w:unhideWhenUsed/>
    <w:rsid w:val="003F438D"/>
    <w:rPr>
      <w:sz w:val="16"/>
      <w:szCs w:val="16"/>
    </w:rPr>
  </w:style>
  <w:style w:type="paragraph" w:styleId="CommentText">
    <w:name w:val="annotation text"/>
    <w:basedOn w:val="Normal"/>
    <w:link w:val="CommentTextChar"/>
    <w:uiPriority w:val="99"/>
    <w:semiHidden/>
    <w:unhideWhenUsed/>
    <w:rsid w:val="003F438D"/>
    <w:pPr>
      <w:spacing w:line="240" w:lineRule="auto"/>
    </w:pPr>
    <w:rPr>
      <w:sz w:val="20"/>
      <w:szCs w:val="20"/>
    </w:rPr>
  </w:style>
  <w:style w:type="character" w:customStyle="1" w:styleId="CommentTextChar">
    <w:name w:val="Comment Text Char"/>
    <w:link w:val="CommentText"/>
    <w:uiPriority w:val="99"/>
    <w:semiHidden/>
    <w:rsid w:val="003F438D"/>
    <w:rPr>
      <w:sz w:val="20"/>
      <w:szCs w:val="20"/>
    </w:rPr>
  </w:style>
  <w:style w:type="paragraph" w:styleId="CommentSubject">
    <w:name w:val="annotation subject"/>
    <w:basedOn w:val="CommentText"/>
    <w:next w:val="CommentText"/>
    <w:link w:val="CommentSubjectChar"/>
    <w:uiPriority w:val="99"/>
    <w:semiHidden/>
    <w:unhideWhenUsed/>
    <w:rsid w:val="003F438D"/>
    <w:rPr>
      <w:b/>
      <w:bCs/>
    </w:rPr>
  </w:style>
  <w:style w:type="character" w:customStyle="1" w:styleId="CommentSubjectChar">
    <w:name w:val="Comment Subject Char"/>
    <w:link w:val="CommentSubject"/>
    <w:uiPriority w:val="99"/>
    <w:semiHidden/>
    <w:rsid w:val="003F438D"/>
    <w:rPr>
      <w:b/>
      <w:bCs/>
      <w:sz w:val="20"/>
      <w:szCs w:val="20"/>
    </w:rPr>
  </w:style>
  <w:style w:type="paragraph" w:customStyle="1" w:styleId="t-9-8">
    <w:name w:val="t-9-8"/>
    <w:basedOn w:val="Normal"/>
    <w:rsid w:val="002F4F99"/>
    <w:pPr>
      <w:spacing w:before="100" w:beforeAutospacing="1" w:after="100" w:afterAutospacing="1" w:line="240" w:lineRule="auto"/>
    </w:pPr>
    <w:rPr>
      <w:rFonts w:ascii="Times New Roman" w:eastAsia="Times New Roman" w:hAnsi="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46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5.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6.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a:pPr>
            <a:r>
              <a:rPr lang="en-US" sz="1200"/>
              <a:t>Number of Public Servants</a:t>
            </a:r>
          </a:p>
        </c:rich>
      </c:tx>
      <c:layout/>
      <c:overlay val="0"/>
    </c:title>
    <c:autoTitleDeleted val="0"/>
    <c:plotArea>
      <c:layout/>
      <c:pieChart>
        <c:varyColors val="1"/>
        <c:ser>
          <c:idx val="0"/>
          <c:order val="0"/>
          <c:tx>
            <c:strRef>
              <c:f>Sheet1!$B$1</c:f>
              <c:strCache>
                <c:ptCount val="1"/>
                <c:pt idx="0">
                  <c:v>Number of Public Servants</c:v>
                </c:pt>
              </c:strCache>
            </c:strRef>
          </c:tx>
          <c:explosion val="25"/>
          <c:dPt>
            <c:idx val="0"/>
            <c:bubble3D val="0"/>
          </c:dPt>
          <c:dPt>
            <c:idx val="1"/>
            <c:bubble3D val="0"/>
          </c:dPt>
          <c:dLbls>
            <c:showLegendKey val="0"/>
            <c:showVal val="1"/>
            <c:showCatName val="0"/>
            <c:showSerName val="0"/>
            <c:showPercent val="0"/>
            <c:showBubbleSize val="0"/>
            <c:showLeaderLines val="1"/>
          </c:dLbls>
          <c:cat>
            <c:strRef>
              <c:f>Sheet1!$A$2:$A$3</c:f>
              <c:strCache>
                <c:ptCount val="2"/>
                <c:pt idx="0">
                  <c:v>MS Reporting Decrease</c:v>
                </c:pt>
                <c:pt idx="1">
                  <c:v>MS Reporting Increase</c:v>
                </c:pt>
              </c:strCache>
            </c:strRef>
          </c:cat>
          <c:val>
            <c:numRef>
              <c:f>Sheet1!$B$2:$B$3</c:f>
              <c:numCache>
                <c:formatCode>General</c:formatCode>
                <c:ptCount val="2"/>
                <c:pt idx="0">
                  <c:v>17</c:v>
                </c:pt>
                <c:pt idx="1">
                  <c:v>10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overlay val="0"/>
    </c:legend>
    <c:plotVisOnly val="1"/>
    <c:dispBlanksAs val="gap"/>
    <c:showDLblsOverMax val="0"/>
  </c:chart>
  <c:spPr>
    <a:solidFill>
      <a:schemeClr val="accent2">
        <a:lumMod val="40000"/>
        <a:lumOff val="60000"/>
      </a:schemeClr>
    </a:solidFill>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lrMapOvr bg1="lt1" tx1="dk1" bg2="lt2" tx2="dk2" accent1="accent1" accent2="accent2" accent3="accent3" accent4="accent4" accent5="accent5" accent6="accent6" hlink="hlink" folHlink="folHlink"/>
  <c:chart>
    <c:title>
      <c:tx>
        <c:rich>
          <a:bodyPr/>
          <a:lstStyle/>
          <a:p>
            <a:pPr>
              <a:defRPr/>
            </a:pPr>
            <a:r>
              <a:rPr lang="en-US" sz="1197"/>
              <a:t>Pension Entitlements or Conditions of Qualification</a:t>
            </a:r>
          </a:p>
        </c:rich>
      </c:tx>
      <c:layout/>
      <c:overlay val="0"/>
    </c:title>
    <c:autoTitleDeleted val="0"/>
    <c:plotArea>
      <c:layout/>
      <c:pieChart>
        <c:varyColors val="1"/>
        <c:ser>
          <c:idx val="0"/>
          <c:order val="0"/>
          <c:tx>
            <c:strRef>
              <c:f>Sheet1!$B$1</c:f>
              <c:strCache>
                <c:ptCount val="1"/>
                <c:pt idx="0">
                  <c:v>Pension Entitlements or Conditions of Qualification</c:v>
                </c:pt>
              </c:strCache>
            </c:strRef>
          </c:tx>
          <c:explosion val="25"/>
          <c:dPt>
            <c:idx val="0"/>
            <c:bubble3D val="0"/>
          </c:dPt>
          <c:dPt>
            <c:idx val="1"/>
            <c:bubble3D val="0"/>
            <c:spPr>
              <a:solidFill>
                <a:srgbClr val="00B050"/>
              </a:solidFill>
            </c:spPr>
          </c:dPt>
          <c:dPt>
            <c:idx val="2"/>
            <c:bubble3D val="0"/>
          </c:dPt>
          <c:dLbls>
            <c:showLegendKey val="0"/>
            <c:showVal val="1"/>
            <c:showCatName val="0"/>
            <c:showSerName val="0"/>
            <c:showPercent val="0"/>
            <c:showBubbleSize val="0"/>
            <c:showLeaderLines val="1"/>
          </c:dLbls>
          <c:cat>
            <c:strRef>
              <c:f>Sheet1!$A$2:$A$4</c:f>
              <c:strCache>
                <c:ptCount val="3"/>
                <c:pt idx="0">
                  <c:v>MS Reporting Changes </c:v>
                </c:pt>
                <c:pt idx="1">
                  <c:v>MS Reporting No Changes</c:v>
                </c:pt>
                <c:pt idx="2">
                  <c:v>MS Reporting No Separate Public Service Pension Scheme</c:v>
                </c:pt>
              </c:strCache>
            </c:strRef>
          </c:cat>
          <c:val>
            <c:numRef>
              <c:f>Sheet1!$B$2:$B$4</c:f>
              <c:numCache>
                <c:formatCode>General</c:formatCode>
                <c:ptCount val="3"/>
                <c:pt idx="0">
                  <c:v>18</c:v>
                </c:pt>
                <c:pt idx="1">
                  <c:v>5</c:v>
                </c:pt>
                <c:pt idx="2">
                  <c:v>4</c:v>
                </c:pt>
              </c:numCache>
            </c:numRef>
          </c:val>
        </c:ser>
        <c:dLbls>
          <c:showLegendKey val="0"/>
          <c:showVal val="0"/>
          <c:showCatName val="0"/>
          <c:showSerName val="0"/>
          <c:showPercent val="0"/>
          <c:showBubbleSize val="0"/>
          <c:showLeaderLines val="1"/>
        </c:dLbls>
        <c:firstSliceAng val="0"/>
      </c:pieChart>
      <c:spPr>
        <a:noFill/>
        <a:ln w="25405">
          <a:noFill/>
        </a:ln>
      </c:spPr>
    </c:plotArea>
    <c:legend>
      <c:legendPos val="r"/>
      <c:layout/>
      <c:overlay val="0"/>
    </c:legend>
    <c:plotVisOnly val="1"/>
    <c:dispBlanksAs val="gap"/>
    <c:showDLblsOverMax val="0"/>
  </c:chart>
  <c:spPr>
    <a:solidFill>
      <a:schemeClr val="accent6">
        <a:lumMod val="60000"/>
        <a:lumOff val="40000"/>
      </a:schemeClr>
    </a:solidFill>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title>
      <c:tx>
        <c:rich>
          <a:bodyPr/>
          <a:lstStyle/>
          <a:p>
            <a:pPr>
              <a:defRPr/>
            </a:pPr>
            <a:r>
              <a:rPr lang="en-US" sz="1195"/>
              <a:t>Holiday / Annual Leave Entitlements</a:t>
            </a:r>
          </a:p>
        </c:rich>
      </c:tx>
      <c:layout/>
      <c:overlay val="0"/>
    </c:title>
    <c:autoTitleDeleted val="0"/>
    <c:plotArea>
      <c:layout/>
      <c:pieChart>
        <c:varyColors val="1"/>
        <c:ser>
          <c:idx val="0"/>
          <c:order val="0"/>
          <c:tx>
            <c:strRef>
              <c:f>Sheet1!$B$1</c:f>
              <c:strCache>
                <c:ptCount val="1"/>
                <c:pt idx="0">
                  <c:v>Holiday / Annual Leave Entitlements</c:v>
                </c:pt>
              </c:strCache>
            </c:strRef>
          </c:tx>
          <c:explosion val="25"/>
          <c:dPt>
            <c:idx val="0"/>
            <c:bubble3D val="0"/>
            <c:spPr>
              <a:solidFill>
                <a:srgbClr val="9BBB59">
                  <a:lumMod val="75000"/>
                </a:srgbClr>
              </a:solidFill>
            </c:spPr>
          </c:dPt>
          <c:dPt>
            <c:idx val="1"/>
            <c:bubble3D val="0"/>
          </c:dPt>
          <c:dLbls>
            <c:showLegendKey val="0"/>
            <c:showVal val="1"/>
            <c:showCatName val="0"/>
            <c:showSerName val="0"/>
            <c:showPercent val="0"/>
            <c:showBubbleSize val="0"/>
            <c:showLeaderLines val="1"/>
          </c:dLbls>
          <c:cat>
            <c:strRef>
              <c:f>Sheet1!$A$2:$A$3</c:f>
              <c:strCache>
                <c:ptCount val="2"/>
                <c:pt idx="0">
                  <c:v>MS Reporting Changes</c:v>
                </c:pt>
                <c:pt idx="1">
                  <c:v>MS Reporting No Changes</c:v>
                </c:pt>
              </c:strCache>
            </c:strRef>
          </c:cat>
          <c:val>
            <c:numRef>
              <c:f>Sheet1!$B$2:$B$3</c:f>
              <c:numCache>
                <c:formatCode>General</c:formatCode>
                <c:ptCount val="2"/>
                <c:pt idx="0">
                  <c:v>10</c:v>
                </c:pt>
                <c:pt idx="1">
                  <c:v>17</c:v>
                </c:pt>
              </c:numCache>
            </c:numRef>
          </c:val>
        </c:ser>
        <c:dLbls>
          <c:showLegendKey val="0"/>
          <c:showVal val="0"/>
          <c:showCatName val="0"/>
          <c:showSerName val="0"/>
          <c:showPercent val="0"/>
          <c:showBubbleSize val="0"/>
          <c:showLeaderLines val="1"/>
        </c:dLbls>
        <c:firstSliceAng val="0"/>
      </c:pieChart>
      <c:spPr>
        <a:noFill/>
        <a:ln w="25386">
          <a:noFill/>
        </a:ln>
      </c:spPr>
    </c:plotArea>
    <c:legend>
      <c:legendPos val="r"/>
      <c:layout/>
      <c:overlay val="0"/>
    </c:legend>
    <c:plotVisOnly val="1"/>
    <c:dispBlanksAs val="gap"/>
    <c:showDLblsOverMax val="0"/>
  </c:chart>
  <c:spPr>
    <a:solidFill>
      <a:schemeClr val="accent1">
        <a:lumMod val="40000"/>
        <a:lumOff val="60000"/>
      </a:schemeClr>
    </a:solidFill>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lrMapOvr bg1="lt1" tx1="dk1" bg2="lt2" tx2="dk2" accent1="accent1" accent2="accent2" accent3="accent3" accent4="accent4" accent5="accent5" accent6="accent6" hlink="hlink" folHlink="folHlink"/>
  <c:chart>
    <c:title>
      <c:tx>
        <c:rich>
          <a:bodyPr/>
          <a:lstStyle/>
          <a:p>
            <a:pPr>
              <a:defRPr/>
            </a:pPr>
            <a:r>
              <a:rPr lang="en-US" sz="1195"/>
              <a:t>Sick Leave Entitlements</a:t>
            </a:r>
          </a:p>
        </c:rich>
      </c:tx>
      <c:layout/>
      <c:overlay val="0"/>
    </c:title>
    <c:autoTitleDeleted val="0"/>
    <c:plotArea>
      <c:layout/>
      <c:pieChart>
        <c:varyColors val="1"/>
        <c:ser>
          <c:idx val="0"/>
          <c:order val="0"/>
          <c:tx>
            <c:strRef>
              <c:f>Sheet1!$B$1</c:f>
              <c:strCache>
                <c:ptCount val="1"/>
                <c:pt idx="0">
                  <c:v>Sick Leave Entitlements</c:v>
                </c:pt>
              </c:strCache>
            </c:strRef>
          </c:tx>
          <c:explosion val="25"/>
          <c:dPt>
            <c:idx val="0"/>
            <c:bubble3D val="0"/>
          </c:dPt>
          <c:dPt>
            <c:idx val="1"/>
            <c:bubble3D val="0"/>
            <c:spPr>
              <a:solidFill>
                <a:srgbClr val="4BACC6">
                  <a:lumMod val="75000"/>
                </a:srgbClr>
              </a:solidFill>
            </c:spPr>
          </c:dPt>
          <c:dPt>
            <c:idx val="2"/>
            <c:bubble3D val="0"/>
          </c:dPt>
          <c:dLbls>
            <c:showLegendKey val="0"/>
            <c:showVal val="1"/>
            <c:showCatName val="0"/>
            <c:showSerName val="0"/>
            <c:showPercent val="0"/>
            <c:showBubbleSize val="0"/>
            <c:showLeaderLines val="1"/>
          </c:dLbls>
          <c:cat>
            <c:strRef>
              <c:f>Sheet1!$A$2:$A$4</c:f>
              <c:strCache>
                <c:ptCount val="3"/>
                <c:pt idx="0">
                  <c:v>MS Reporting Changes</c:v>
                </c:pt>
                <c:pt idx="1">
                  <c:v>MS Reporting No Changes</c:v>
                </c:pt>
                <c:pt idx="2">
                  <c:v>MS Reporting No Separate System for Public Servants</c:v>
                </c:pt>
              </c:strCache>
            </c:strRef>
          </c:cat>
          <c:val>
            <c:numRef>
              <c:f>Sheet1!$B$2:$B$4</c:f>
              <c:numCache>
                <c:formatCode>General</c:formatCode>
                <c:ptCount val="3"/>
                <c:pt idx="0">
                  <c:v>8</c:v>
                </c:pt>
                <c:pt idx="1">
                  <c:v>9</c:v>
                </c:pt>
                <c:pt idx="2">
                  <c:v>2</c:v>
                </c:pt>
              </c:numCache>
            </c:numRef>
          </c:val>
        </c:ser>
        <c:dLbls>
          <c:showLegendKey val="0"/>
          <c:showVal val="0"/>
          <c:showCatName val="0"/>
          <c:showSerName val="0"/>
          <c:showPercent val="0"/>
          <c:showBubbleSize val="0"/>
          <c:showLeaderLines val="1"/>
        </c:dLbls>
        <c:firstSliceAng val="0"/>
      </c:pieChart>
      <c:spPr>
        <a:noFill/>
        <a:ln w="25377">
          <a:noFill/>
        </a:ln>
      </c:spPr>
    </c:plotArea>
    <c:legend>
      <c:legendPos val="r"/>
      <c:layout/>
      <c:overlay val="0"/>
    </c:legend>
    <c:plotVisOnly val="1"/>
    <c:dispBlanksAs val="gap"/>
    <c:showDLblsOverMax val="0"/>
  </c:chart>
  <c:spPr>
    <a:solidFill>
      <a:schemeClr val="accent3">
        <a:lumMod val="60000"/>
        <a:lumOff val="40000"/>
      </a:schemeClr>
    </a:solidFill>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title>
      <c:tx>
        <c:rich>
          <a:bodyPr/>
          <a:lstStyle/>
          <a:p>
            <a:pPr>
              <a:defRPr/>
            </a:pPr>
            <a:r>
              <a:rPr lang="en-US" sz="1195"/>
              <a:t>Maternity / Paternity Leave</a:t>
            </a:r>
          </a:p>
        </c:rich>
      </c:tx>
      <c:layout/>
      <c:overlay val="0"/>
    </c:title>
    <c:autoTitleDeleted val="0"/>
    <c:plotArea>
      <c:layout/>
      <c:pieChart>
        <c:varyColors val="1"/>
        <c:ser>
          <c:idx val="0"/>
          <c:order val="0"/>
          <c:tx>
            <c:strRef>
              <c:f>Sheet1!$B$1</c:f>
              <c:strCache>
                <c:ptCount val="1"/>
                <c:pt idx="0">
                  <c:v>Maternity / Paternity Leave</c:v>
                </c:pt>
              </c:strCache>
            </c:strRef>
          </c:tx>
          <c:explosion val="25"/>
          <c:dPt>
            <c:idx val="0"/>
            <c:bubble3D val="0"/>
          </c:dPt>
          <c:dPt>
            <c:idx val="1"/>
            <c:bubble3D val="0"/>
            <c:spPr>
              <a:solidFill>
                <a:srgbClr val="0070C0"/>
              </a:solidFill>
            </c:spPr>
          </c:dPt>
          <c:dPt>
            <c:idx val="2"/>
            <c:bubble3D val="0"/>
            <c:spPr>
              <a:solidFill>
                <a:srgbClr val="F79646">
                  <a:lumMod val="75000"/>
                </a:srgbClr>
              </a:solidFill>
            </c:spPr>
          </c:dPt>
          <c:dLbls>
            <c:showLegendKey val="0"/>
            <c:showVal val="1"/>
            <c:showCatName val="0"/>
            <c:showSerName val="0"/>
            <c:showPercent val="0"/>
            <c:showBubbleSize val="0"/>
            <c:showLeaderLines val="1"/>
          </c:dLbls>
          <c:cat>
            <c:strRef>
              <c:f>Sheet1!$A$2:$A$4</c:f>
              <c:strCache>
                <c:ptCount val="3"/>
                <c:pt idx="0">
                  <c:v>MS Reporting Changes</c:v>
                </c:pt>
                <c:pt idx="1">
                  <c:v>MS Reporting No Changes</c:v>
                </c:pt>
                <c:pt idx="2">
                  <c:v>MS Reporting No Separate System</c:v>
                </c:pt>
              </c:strCache>
            </c:strRef>
          </c:cat>
          <c:val>
            <c:numRef>
              <c:f>Sheet1!$B$2:$B$4</c:f>
              <c:numCache>
                <c:formatCode>General</c:formatCode>
                <c:ptCount val="3"/>
                <c:pt idx="0">
                  <c:v>11</c:v>
                </c:pt>
                <c:pt idx="1">
                  <c:v>10</c:v>
                </c:pt>
                <c:pt idx="2">
                  <c:v>1</c:v>
                </c:pt>
              </c:numCache>
            </c:numRef>
          </c:val>
        </c:ser>
        <c:dLbls>
          <c:showLegendKey val="0"/>
          <c:showVal val="0"/>
          <c:showCatName val="0"/>
          <c:showSerName val="0"/>
          <c:showPercent val="0"/>
          <c:showBubbleSize val="0"/>
          <c:showLeaderLines val="1"/>
        </c:dLbls>
        <c:firstSliceAng val="0"/>
      </c:pieChart>
      <c:spPr>
        <a:noFill/>
        <a:ln w="25386">
          <a:noFill/>
        </a:ln>
      </c:spPr>
    </c:plotArea>
    <c:legend>
      <c:legendPos val="r"/>
      <c:layout/>
      <c:overlay val="0"/>
    </c:legend>
    <c:plotVisOnly val="1"/>
    <c:dispBlanksAs val="gap"/>
    <c:showDLblsOverMax val="0"/>
  </c:chart>
  <c:spPr>
    <a:solidFill>
      <a:schemeClr val="accent2">
        <a:lumMod val="40000"/>
        <a:lumOff val="60000"/>
      </a:schemeClr>
    </a:solidFill>
  </c:sp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lrMapOvr bg1="lt1" tx1="dk1" bg2="lt2" tx2="dk2" accent1="accent1" accent2="accent2" accent3="accent3" accent4="accent4" accent5="accent5" accent6="accent6" hlink="hlink" folHlink="folHlink"/>
  <c:chart>
    <c:title>
      <c:tx>
        <c:rich>
          <a:bodyPr/>
          <a:lstStyle/>
          <a:p>
            <a:pPr>
              <a:defRPr/>
            </a:pPr>
            <a:r>
              <a:rPr lang="en-US" sz="1196"/>
              <a:t>Family Friendly Policies</a:t>
            </a:r>
          </a:p>
        </c:rich>
      </c:tx>
      <c:layout/>
      <c:overlay val="0"/>
    </c:title>
    <c:autoTitleDeleted val="0"/>
    <c:plotArea>
      <c:layout/>
      <c:pieChart>
        <c:varyColors val="1"/>
        <c:ser>
          <c:idx val="0"/>
          <c:order val="0"/>
          <c:tx>
            <c:strRef>
              <c:f>Sheet1!$B$1</c:f>
              <c:strCache>
                <c:ptCount val="1"/>
                <c:pt idx="0">
                  <c:v>Family Friendly Policies</c:v>
                </c:pt>
              </c:strCache>
            </c:strRef>
          </c:tx>
          <c:explosion val="25"/>
          <c:dPt>
            <c:idx val="0"/>
            <c:bubble3D val="0"/>
            <c:spPr>
              <a:solidFill>
                <a:srgbClr val="00B050"/>
              </a:solidFill>
            </c:spPr>
          </c:dPt>
          <c:dPt>
            <c:idx val="1"/>
            <c:bubble3D val="0"/>
          </c:dPt>
          <c:dPt>
            <c:idx val="2"/>
            <c:bubble3D val="0"/>
            <c:spPr>
              <a:solidFill>
                <a:srgbClr val="F79646">
                  <a:lumMod val="75000"/>
                </a:srgbClr>
              </a:solidFill>
            </c:spPr>
          </c:dPt>
          <c:dLbls>
            <c:showLegendKey val="0"/>
            <c:showVal val="1"/>
            <c:showCatName val="0"/>
            <c:showSerName val="0"/>
            <c:showPercent val="0"/>
            <c:showBubbleSize val="0"/>
            <c:showLeaderLines val="1"/>
          </c:dLbls>
          <c:cat>
            <c:strRef>
              <c:f>Sheet1!$A$2:$A$4</c:f>
              <c:strCache>
                <c:ptCount val="3"/>
                <c:pt idx="0">
                  <c:v>MS Reporting Changes</c:v>
                </c:pt>
                <c:pt idx="1">
                  <c:v>MS Reporting No Changes</c:v>
                </c:pt>
                <c:pt idx="2">
                  <c:v>MS Reporting No Separate System</c:v>
                </c:pt>
              </c:strCache>
            </c:strRef>
          </c:cat>
          <c:val>
            <c:numRef>
              <c:f>Sheet1!$B$2:$B$4</c:f>
              <c:numCache>
                <c:formatCode>General</c:formatCode>
                <c:ptCount val="3"/>
                <c:pt idx="0">
                  <c:v>12</c:v>
                </c:pt>
                <c:pt idx="1">
                  <c:v>7</c:v>
                </c:pt>
                <c:pt idx="2">
                  <c:v>2</c:v>
                </c:pt>
              </c:numCache>
            </c:numRef>
          </c:val>
        </c:ser>
        <c:dLbls>
          <c:showLegendKey val="0"/>
          <c:showVal val="0"/>
          <c:showCatName val="0"/>
          <c:showSerName val="0"/>
          <c:showPercent val="0"/>
          <c:showBubbleSize val="0"/>
          <c:showLeaderLines val="1"/>
        </c:dLbls>
        <c:firstSliceAng val="0"/>
      </c:pieChart>
      <c:spPr>
        <a:noFill/>
        <a:ln w="25387">
          <a:noFill/>
        </a:ln>
      </c:spPr>
    </c:plotArea>
    <c:legend>
      <c:legendPos val="r"/>
      <c:layout/>
      <c:overlay val="0"/>
    </c:legend>
    <c:plotVisOnly val="1"/>
    <c:dispBlanksAs val="gap"/>
    <c:showDLblsOverMax val="0"/>
  </c:chart>
  <c:spPr>
    <a:solidFill>
      <a:srgbClr val="FFFFCC"/>
    </a:solidFill>
  </c:sp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lrMapOvr bg1="lt1" tx1="dk1" bg2="lt2" tx2="dk2" accent1="accent1" accent2="accent2" accent3="accent3" accent4="accent4" accent5="accent5" accent6="accent6" hlink="hlink" folHlink="folHlink"/>
  <c:chart>
    <c:title>
      <c:tx>
        <c:rich>
          <a:bodyPr/>
          <a:lstStyle/>
          <a:p>
            <a:pPr algn="ctr">
              <a:defRPr/>
            </a:pPr>
            <a:r>
              <a:rPr lang="en-US" sz="1199"/>
              <a:t>Methods of Recruitment and Selection to the Civil Service</a:t>
            </a:r>
          </a:p>
        </c:rich>
      </c:tx>
      <c:layout>
        <c:manualLayout>
          <c:xMode val="edge"/>
          <c:yMode val="edge"/>
          <c:x val="8.6840101835300595E-2"/>
          <c:y val="2.3809788482322063E-2"/>
        </c:manualLayout>
      </c:layout>
      <c:overlay val="0"/>
    </c:title>
    <c:autoTitleDeleted val="0"/>
    <c:plotArea>
      <c:layout/>
      <c:pieChart>
        <c:varyColors val="1"/>
        <c:ser>
          <c:idx val="0"/>
          <c:order val="0"/>
          <c:tx>
            <c:strRef>
              <c:f>Sheet1!$B$1</c:f>
              <c:strCache>
                <c:ptCount val="1"/>
                <c:pt idx="0">
                  <c:v>Methods of Recruitment and Selection to the Civil Service</c:v>
                </c:pt>
              </c:strCache>
            </c:strRef>
          </c:tx>
          <c:explosion val="25"/>
          <c:dPt>
            <c:idx val="0"/>
            <c:bubble3D val="0"/>
            <c:spPr>
              <a:solidFill>
                <a:srgbClr val="9BBB59">
                  <a:lumMod val="75000"/>
                </a:srgbClr>
              </a:solidFill>
            </c:spPr>
          </c:dPt>
          <c:dPt>
            <c:idx val="1"/>
            <c:bubble3D val="0"/>
            <c:spPr>
              <a:solidFill>
                <a:srgbClr val="8064A2">
                  <a:lumMod val="60000"/>
                  <a:lumOff val="40000"/>
                </a:srgbClr>
              </a:solidFill>
            </c:spPr>
          </c:dPt>
          <c:dLbls>
            <c:showLegendKey val="0"/>
            <c:showVal val="1"/>
            <c:showCatName val="0"/>
            <c:showSerName val="0"/>
            <c:showPercent val="0"/>
            <c:showBubbleSize val="0"/>
            <c:showLeaderLines val="1"/>
          </c:dLbls>
          <c:cat>
            <c:strRef>
              <c:f>Sheet1!$A$2:$A$3</c:f>
              <c:strCache>
                <c:ptCount val="2"/>
                <c:pt idx="0">
                  <c:v>MS Reporting Changes </c:v>
                </c:pt>
                <c:pt idx="1">
                  <c:v>MS Reporting No Changes</c:v>
                </c:pt>
              </c:strCache>
            </c:strRef>
          </c:cat>
          <c:val>
            <c:numRef>
              <c:f>Sheet1!$B$2:$B$3</c:f>
              <c:numCache>
                <c:formatCode>General</c:formatCode>
                <c:ptCount val="2"/>
                <c:pt idx="0">
                  <c:v>17</c:v>
                </c:pt>
                <c:pt idx="1">
                  <c:v>2</c:v>
                </c:pt>
              </c:numCache>
            </c:numRef>
          </c:val>
        </c:ser>
        <c:dLbls>
          <c:showLegendKey val="0"/>
          <c:showVal val="0"/>
          <c:showCatName val="0"/>
          <c:showSerName val="0"/>
          <c:showPercent val="0"/>
          <c:showBubbleSize val="0"/>
          <c:showLeaderLines val="1"/>
        </c:dLbls>
        <c:firstSliceAng val="0"/>
      </c:pieChart>
      <c:spPr>
        <a:noFill/>
        <a:ln w="25375">
          <a:noFill/>
        </a:ln>
      </c:spPr>
    </c:plotArea>
    <c:legend>
      <c:legendPos val="r"/>
      <c:layout/>
      <c:overlay val="0"/>
    </c:legend>
    <c:plotVisOnly val="1"/>
    <c:dispBlanksAs val="gap"/>
    <c:showDLblsOverMax val="0"/>
  </c:chart>
  <c:spPr>
    <a:solidFill>
      <a:schemeClr val="accent6">
        <a:lumMod val="60000"/>
        <a:lumOff val="40000"/>
      </a:schemeClr>
    </a:solidFill>
  </c:sp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title>
      <c:tx>
        <c:rich>
          <a:bodyPr/>
          <a:lstStyle/>
          <a:p>
            <a:pPr>
              <a:defRPr/>
            </a:pPr>
            <a:r>
              <a:rPr lang="en-US" sz="1201"/>
              <a:t>Structure of the Senior Public Service</a:t>
            </a:r>
          </a:p>
        </c:rich>
      </c:tx>
      <c:layout/>
      <c:overlay val="0"/>
    </c:title>
    <c:autoTitleDeleted val="0"/>
    <c:plotArea>
      <c:layout/>
      <c:pieChart>
        <c:varyColors val="1"/>
        <c:ser>
          <c:idx val="0"/>
          <c:order val="0"/>
          <c:tx>
            <c:strRef>
              <c:f>Sheet1!$B$1</c:f>
              <c:strCache>
                <c:ptCount val="1"/>
                <c:pt idx="0">
                  <c:v>Structure of the Senior Public Service</c:v>
                </c:pt>
              </c:strCache>
            </c:strRef>
          </c:tx>
          <c:explosion val="25"/>
          <c:dPt>
            <c:idx val="0"/>
            <c:bubble3D val="0"/>
            <c:spPr>
              <a:solidFill>
                <a:srgbClr val="9BBB59">
                  <a:lumMod val="75000"/>
                </a:srgbClr>
              </a:solidFill>
            </c:spPr>
          </c:dPt>
          <c:dPt>
            <c:idx val="1"/>
            <c:bubble3D val="0"/>
          </c:dPt>
          <c:dPt>
            <c:idx val="2"/>
            <c:bubble3D val="0"/>
            <c:spPr>
              <a:solidFill>
                <a:srgbClr val="8064A2">
                  <a:lumMod val="60000"/>
                  <a:lumOff val="40000"/>
                </a:srgbClr>
              </a:solidFill>
            </c:spPr>
          </c:dPt>
          <c:dLbls>
            <c:showLegendKey val="0"/>
            <c:showVal val="1"/>
            <c:showCatName val="0"/>
            <c:showSerName val="0"/>
            <c:showPercent val="0"/>
            <c:showBubbleSize val="0"/>
            <c:showLeaderLines val="1"/>
          </c:dLbls>
          <c:cat>
            <c:strRef>
              <c:f>Sheet1!$A$2:$A$4</c:f>
              <c:strCache>
                <c:ptCount val="3"/>
                <c:pt idx="0">
                  <c:v>MS Reporting Changes</c:v>
                </c:pt>
                <c:pt idx="1">
                  <c:v>MS Reporting No Changes</c:v>
                </c:pt>
                <c:pt idx="2">
                  <c:v>MS Reporting No Separate System</c:v>
                </c:pt>
              </c:strCache>
            </c:strRef>
          </c:cat>
          <c:val>
            <c:numRef>
              <c:f>Sheet1!$B$2:$B$4</c:f>
              <c:numCache>
                <c:formatCode>General</c:formatCode>
                <c:ptCount val="3"/>
                <c:pt idx="0">
                  <c:v>4</c:v>
                </c:pt>
                <c:pt idx="1">
                  <c:v>17</c:v>
                </c:pt>
                <c:pt idx="2">
                  <c:v>6</c:v>
                </c:pt>
              </c:numCache>
            </c:numRef>
          </c:val>
        </c:ser>
        <c:dLbls>
          <c:showLegendKey val="0"/>
          <c:showVal val="0"/>
          <c:showCatName val="0"/>
          <c:showSerName val="0"/>
          <c:showPercent val="0"/>
          <c:showBubbleSize val="0"/>
          <c:showLeaderLines val="1"/>
        </c:dLbls>
        <c:firstSliceAng val="0"/>
      </c:pieChart>
      <c:spPr>
        <a:noFill/>
        <a:ln w="25422">
          <a:noFill/>
        </a:ln>
      </c:spPr>
    </c:plotArea>
    <c:legend>
      <c:legendPos val="r"/>
      <c:layout/>
      <c:overlay val="0"/>
    </c:legend>
    <c:plotVisOnly val="1"/>
    <c:dispBlanksAs val="gap"/>
    <c:showDLblsOverMax val="0"/>
  </c:chart>
  <c:spPr>
    <a:solidFill>
      <a:schemeClr val="accent1">
        <a:lumMod val="40000"/>
        <a:lumOff val="60000"/>
      </a:schemeClr>
    </a:solidFill>
  </c:sp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lrMapOvr bg1="lt1" tx1="dk1" bg2="lt2" tx2="dk2" accent1="accent1" accent2="accent2" accent3="accent3" accent4="accent4" accent5="accent5" accent6="accent6" hlink="hlink" folHlink="folHlink"/>
  <c:chart>
    <c:title>
      <c:tx>
        <c:rich>
          <a:bodyPr/>
          <a:lstStyle/>
          <a:p>
            <a:pPr>
              <a:defRPr/>
            </a:pPr>
            <a:r>
              <a:rPr lang="en-US" sz="1198"/>
              <a:t>Recruitment and Selection for the Senior Public Service</a:t>
            </a:r>
            <a:r>
              <a:rPr lang="en-US" sz="1198" baseline="0"/>
              <a:t> </a:t>
            </a:r>
            <a:endParaRPr lang="en-US" sz="1200"/>
          </a:p>
        </c:rich>
      </c:tx>
      <c:layout/>
      <c:overlay val="0"/>
    </c:title>
    <c:autoTitleDeleted val="0"/>
    <c:plotArea>
      <c:layout/>
      <c:pieChart>
        <c:varyColors val="1"/>
        <c:ser>
          <c:idx val="0"/>
          <c:order val="0"/>
          <c:tx>
            <c:strRef>
              <c:f>Sheet1!$B$1</c:f>
              <c:strCache>
                <c:ptCount val="1"/>
                <c:pt idx="0">
                  <c:v>Recruitment and Selection for the Senior Public Service</c:v>
                </c:pt>
              </c:strCache>
            </c:strRef>
          </c:tx>
          <c:explosion val="25"/>
          <c:dPt>
            <c:idx val="0"/>
            <c:bubble3D val="0"/>
          </c:dPt>
          <c:dPt>
            <c:idx val="1"/>
            <c:bubble3D val="0"/>
            <c:spPr>
              <a:solidFill>
                <a:srgbClr val="0070C0"/>
              </a:solidFill>
            </c:spPr>
          </c:dPt>
          <c:dPt>
            <c:idx val="2"/>
            <c:bubble3D val="0"/>
            <c:spPr>
              <a:solidFill>
                <a:srgbClr val="8064A2">
                  <a:lumMod val="75000"/>
                </a:srgbClr>
              </a:solidFill>
            </c:spPr>
          </c:dPt>
          <c:dPt>
            <c:idx val="3"/>
            <c:bubble3D val="0"/>
          </c:dPt>
          <c:dLbls>
            <c:dLbl>
              <c:idx val="0"/>
              <c:layout/>
              <c:spPr/>
              <c:txPr>
                <a:bodyPr/>
                <a:lstStyle/>
                <a:p>
                  <a:pPr>
                    <a:defRPr/>
                  </a:pPr>
                  <a:endParaRPr lang="en-US"/>
                </a:p>
              </c:txPr>
              <c:showLegendKey val="0"/>
              <c:showVal val="1"/>
              <c:showCatName val="0"/>
              <c:showSerName val="0"/>
              <c:showPercent val="0"/>
              <c:showBubbleSize val="0"/>
            </c:dLbl>
            <c:dLbl>
              <c:idx val="1"/>
              <c:layout/>
              <c:spPr/>
              <c:txPr>
                <a:bodyPr/>
                <a:lstStyle/>
                <a:p>
                  <a:pPr>
                    <a:defRPr/>
                  </a:pPr>
                  <a:endParaRPr lang="en-US"/>
                </a:p>
              </c:txPr>
              <c:showLegendKey val="0"/>
              <c:showVal val="1"/>
              <c:showCatName val="0"/>
              <c:showSerName val="0"/>
              <c:showPercent val="0"/>
              <c:showBubbleSize val="0"/>
            </c:dLbl>
            <c:dLbl>
              <c:idx val="2"/>
              <c:layout/>
              <c:spPr/>
              <c:txPr>
                <a:bodyPr/>
                <a:lstStyle/>
                <a:p>
                  <a:pPr>
                    <a:defRPr/>
                  </a:pPr>
                  <a:endParaRPr lang="en-US"/>
                </a:p>
              </c:txPr>
              <c:showLegendKey val="0"/>
              <c:showVal val="1"/>
              <c:showCatName val="0"/>
              <c:showSerName val="0"/>
              <c:showPercent val="0"/>
              <c:showBubbleSize val="0"/>
            </c:dLbl>
            <c:dLbl>
              <c:idx val="3"/>
              <c:layout/>
              <c:spPr/>
              <c:txPr>
                <a:bodyPr/>
                <a:lstStyle/>
                <a:p>
                  <a:pPr>
                    <a:defRPr/>
                  </a:pPr>
                  <a:endParaRPr lang="en-US"/>
                </a:p>
              </c:txPr>
              <c:showLegendKey val="0"/>
              <c:showVal val="1"/>
              <c:showCatName val="0"/>
              <c:showSerName val="0"/>
              <c:showPercent val="0"/>
              <c:showBubbleSize val="0"/>
            </c:dLbl>
            <c:showLegendKey val="0"/>
            <c:showVal val="0"/>
            <c:showCatName val="0"/>
            <c:showSerName val="0"/>
            <c:showPercent val="0"/>
            <c:showBubbleSize val="0"/>
          </c:dLbls>
          <c:cat>
            <c:strRef>
              <c:f>Sheet1!$A$2:$A$5</c:f>
              <c:strCache>
                <c:ptCount val="4"/>
                <c:pt idx="0">
                  <c:v>MS Reporting Changes</c:v>
                </c:pt>
                <c:pt idx="1">
                  <c:v>MS Reporting No Changes</c:v>
                </c:pt>
                <c:pt idx="2">
                  <c:v>MS Reporting Prospective Changes</c:v>
                </c:pt>
                <c:pt idx="3">
                  <c:v>MS Reporting No Separate System</c:v>
                </c:pt>
              </c:strCache>
            </c:strRef>
          </c:cat>
          <c:val>
            <c:numRef>
              <c:f>Sheet1!$B$2:$B$5</c:f>
              <c:numCache>
                <c:formatCode>General</c:formatCode>
                <c:ptCount val="4"/>
                <c:pt idx="0">
                  <c:v>13</c:v>
                </c:pt>
                <c:pt idx="1">
                  <c:v>5</c:v>
                </c:pt>
                <c:pt idx="2">
                  <c:v>3</c:v>
                </c:pt>
                <c:pt idx="3">
                  <c:v>6</c:v>
                </c:pt>
              </c:numCache>
            </c:numRef>
          </c:val>
        </c:ser>
        <c:dLbls>
          <c:showLegendKey val="0"/>
          <c:showVal val="0"/>
          <c:showCatName val="0"/>
          <c:showSerName val="0"/>
          <c:showPercent val="0"/>
          <c:showBubbleSize val="0"/>
          <c:showLeaderLines val="1"/>
        </c:dLbls>
        <c:firstSliceAng val="0"/>
      </c:pieChart>
      <c:spPr>
        <a:noFill/>
        <a:ln w="25367">
          <a:noFill/>
        </a:ln>
      </c:spPr>
    </c:plotArea>
    <c:legend>
      <c:legendPos val="r"/>
      <c:layout/>
      <c:overlay val="0"/>
    </c:legend>
    <c:plotVisOnly val="1"/>
    <c:dispBlanksAs val="gap"/>
    <c:showDLblsOverMax val="0"/>
  </c:chart>
  <c:spPr>
    <a:solidFill>
      <a:schemeClr val="accent3">
        <a:lumMod val="60000"/>
        <a:lumOff val="40000"/>
      </a:schemeClr>
    </a:solid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 Decrease 2006 - 2013 </c:v>
                </c:pt>
              </c:strCache>
            </c:strRef>
          </c:tx>
          <c:invertIfNegative val="0"/>
          <c:cat>
            <c:strRef>
              <c:f>Sheet1!$A$2:$A$18</c:f>
              <c:strCache>
                <c:ptCount val="17"/>
                <c:pt idx="0">
                  <c:v>Austria</c:v>
                </c:pt>
                <c:pt idx="1">
                  <c:v>Belgium</c:v>
                </c:pt>
                <c:pt idx="2">
                  <c:v>Cyprus</c:v>
                </c:pt>
                <c:pt idx="3">
                  <c:v>Czech Republic</c:v>
                </c:pt>
                <c:pt idx="4">
                  <c:v>Estonia</c:v>
                </c:pt>
                <c:pt idx="5">
                  <c:v>Finland</c:v>
                </c:pt>
                <c:pt idx="6">
                  <c:v>France </c:v>
                </c:pt>
                <c:pt idx="7">
                  <c:v>Germany </c:v>
                </c:pt>
                <c:pt idx="8">
                  <c:v>Hungary</c:v>
                </c:pt>
                <c:pt idx="9">
                  <c:v>Ireland</c:v>
                </c:pt>
                <c:pt idx="10">
                  <c:v>Italy</c:v>
                </c:pt>
                <c:pt idx="11">
                  <c:v>Latvia</c:v>
                </c:pt>
                <c:pt idx="12">
                  <c:v>Malta</c:v>
                </c:pt>
                <c:pt idx="13">
                  <c:v>Portugal</c:v>
                </c:pt>
                <c:pt idx="14">
                  <c:v>Slovakia</c:v>
                </c:pt>
                <c:pt idx="15">
                  <c:v>Slovenia</c:v>
                </c:pt>
                <c:pt idx="16">
                  <c:v>The UK</c:v>
                </c:pt>
              </c:strCache>
            </c:strRef>
          </c:cat>
          <c:val>
            <c:numRef>
              <c:f>Sheet1!$B$2:$B$18</c:f>
              <c:numCache>
                <c:formatCode>General</c:formatCode>
                <c:ptCount val="17"/>
                <c:pt idx="0">
                  <c:v>14</c:v>
                </c:pt>
                <c:pt idx="1">
                  <c:v>5</c:v>
                </c:pt>
                <c:pt idx="2">
                  <c:v>5</c:v>
                </c:pt>
                <c:pt idx="3">
                  <c:v>12</c:v>
                </c:pt>
                <c:pt idx="4">
                  <c:v>6</c:v>
                </c:pt>
                <c:pt idx="5">
                  <c:v>35</c:v>
                </c:pt>
                <c:pt idx="6">
                  <c:v>9</c:v>
                </c:pt>
                <c:pt idx="7">
                  <c:v>7</c:v>
                </c:pt>
                <c:pt idx="8">
                  <c:v>18</c:v>
                </c:pt>
                <c:pt idx="9">
                  <c:v>2</c:v>
                </c:pt>
                <c:pt idx="10">
                  <c:v>3</c:v>
                </c:pt>
                <c:pt idx="11">
                  <c:v>34</c:v>
                </c:pt>
                <c:pt idx="12">
                  <c:v>3</c:v>
                </c:pt>
                <c:pt idx="13">
                  <c:v>22</c:v>
                </c:pt>
                <c:pt idx="14">
                  <c:v>13</c:v>
                </c:pt>
                <c:pt idx="15">
                  <c:v>23</c:v>
                </c:pt>
                <c:pt idx="16">
                  <c:v>19</c:v>
                </c:pt>
              </c:numCache>
            </c:numRef>
          </c:val>
        </c:ser>
        <c:dLbls>
          <c:showLegendKey val="0"/>
          <c:showVal val="0"/>
          <c:showCatName val="0"/>
          <c:showSerName val="0"/>
          <c:showPercent val="0"/>
          <c:showBubbleSize val="0"/>
        </c:dLbls>
        <c:gapWidth val="150"/>
        <c:axId val="92363008"/>
        <c:axId val="92368896"/>
      </c:barChart>
      <c:catAx>
        <c:axId val="92363008"/>
        <c:scaling>
          <c:orientation val="minMax"/>
        </c:scaling>
        <c:delete val="0"/>
        <c:axPos val="b"/>
        <c:numFmt formatCode="General" sourceLinked="1"/>
        <c:majorTickMark val="out"/>
        <c:minorTickMark val="none"/>
        <c:tickLblPos val="nextTo"/>
        <c:crossAx val="92368896"/>
        <c:crossesAt val="0"/>
        <c:auto val="1"/>
        <c:lblAlgn val="ctr"/>
        <c:lblOffset val="100"/>
        <c:noMultiLvlLbl val="0"/>
      </c:catAx>
      <c:valAx>
        <c:axId val="92368896"/>
        <c:scaling>
          <c:orientation val="minMax"/>
          <c:max val="40"/>
          <c:min val="0"/>
        </c:scaling>
        <c:delete val="0"/>
        <c:axPos val="l"/>
        <c:majorGridlines/>
        <c:numFmt formatCode="General" sourceLinked="1"/>
        <c:majorTickMark val="out"/>
        <c:minorTickMark val="none"/>
        <c:tickLblPos val="nextTo"/>
        <c:crossAx val="92363008"/>
        <c:crosses val="autoZero"/>
        <c:crossBetween val="between"/>
        <c:majorUnit val="10"/>
      </c:valAx>
    </c:plotArea>
    <c:legend>
      <c:legendPos val="r"/>
      <c:layout/>
      <c:overlay val="0"/>
    </c:legend>
    <c:plotVisOnly val="1"/>
    <c:dispBlanksAs val="gap"/>
    <c:showDLblsOverMax val="0"/>
  </c:chart>
  <c:spPr>
    <a:solidFill>
      <a:schemeClr val="accent2">
        <a:lumMod val="40000"/>
        <a:lumOff val="60000"/>
      </a:schemeClr>
    </a:solidFill>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 Increase 2006 - 2013</c:v>
                </c:pt>
              </c:strCache>
            </c:strRef>
          </c:tx>
          <c:invertIfNegative val="0"/>
          <c:cat>
            <c:strRef>
              <c:f>Sheet1!$A$2:$A$11</c:f>
              <c:strCache>
                <c:ptCount val="10"/>
                <c:pt idx="0">
                  <c:v>Bulgaria</c:v>
                </c:pt>
                <c:pt idx="1">
                  <c:v>Denmark</c:v>
                </c:pt>
                <c:pt idx="2">
                  <c:v>Greece</c:v>
                </c:pt>
                <c:pt idx="3">
                  <c:v>Lithuania</c:v>
                </c:pt>
                <c:pt idx="4">
                  <c:v>Luxembourg</c:v>
                </c:pt>
                <c:pt idx="5">
                  <c:v>The Netherlands</c:v>
                </c:pt>
                <c:pt idx="6">
                  <c:v>Poland</c:v>
                </c:pt>
                <c:pt idx="7">
                  <c:v>Romania</c:v>
                </c:pt>
                <c:pt idx="8">
                  <c:v>Spain</c:v>
                </c:pt>
                <c:pt idx="9">
                  <c:v>Sweden</c:v>
                </c:pt>
              </c:strCache>
            </c:strRef>
          </c:cat>
          <c:val>
            <c:numRef>
              <c:f>Sheet1!$B$2:$B$11</c:f>
              <c:numCache>
                <c:formatCode>General</c:formatCode>
                <c:ptCount val="10"/>
                <c:pt idx="0">
                  <c:v>3</c:v>
                </c:pt>
                <c:pt idx="1">
                  <c:v>4</c:v>
                </c:pt>
                <c:pt idx="2">
                  <c:v>19</c:v>
                </c:pt>
                <c:pt idx="3">
                  <c:v>3</c:v>
                </c:pt>
                <c:pt idx="4">
                  <c:v>18</c:v>
                </c:pt>
                <c:pt idx="5">
                  <c:v>4</c:v>
                </c:pt>
                <c:pt idx="6">
                  <c:v>19</c:v>
                </c:pt>
                <c:pt idx="7">
                  <c:v>14</c:v>
                </c:pt>
                <c:pt idx="8">
                  <c:v>18</c:v>
                </c:pt>
                <c:pt idx="9">
                  <c:v>7</c:v>
                </c:pt>
              </c:numCache>
            </c:numRef>
          </c:val>
        </c:ser>
        <c:dLbls>
          <c:showLegendKey val="0"/>
          <c:showVal val="0"/>
          <c:showCatName val="0"/>
          <c:showSerName val="0"/>
          <c:showPercent val="0"/>
          <c:showBubbleSize val="0"/>
        </c:dLbls>
        <c:gapWidth val="150"/>
        <c:axId val="92384640"/>
        <c:axId val="135881856"/>
      </c:barChart>
      <c:catAx>
        <c:axId val="92384640"/>
        <c:scaling>
          <c:orientation val="minMax"/>
        </c:scaling>
        <c:delete val="0"/>
        <c:axPos val="b"/>
        <c:numFmt formatCode="General" sourceLinked="1"/>
        <c:majorTickMark val="out"/>
        <c:minorTickMark val="none"/>
        <c:tickLblPos val="nextTo"/>
        <c:crossAx val="135881856"/>
        <c:crosses val="autoZero"/>
        <c:auto val="1"/>
        <c:lblAlgn val="ctr"/>
        <c:lblOffset val="100"/>
        <c:noMultiLvlLbl val="0"/>
      </c:catAx>
      <c:valAx>
        <c:axId val="135881856"/>
        <c:scaling>
          <c:orientation val="minMax"/>
          <c:max val="20"/>
          <c:min val="0"/>
        </c:scaling>
        <c:delete val="0"/>
        <c:axPos val="l"/>
        <c:majorGridlines/>
        <c:numFmt formatCode="General" sourceLinked="1"/>
        <c:majorTickMark val="out"/>
        <c:minorTickMark val="none"/>
        <c:tickLblPos val="nextTo"/>
        <c:crossAx val="92384640"/>
        <c:crosses val="autoZero"/>
        <c:crossBetween val="between"/>
        <c:majorUnit val="5"/>
      </c:valAx>
    </c:plotArea>
    <c:legend>
      <c:legendPos val="r"/>
      <c:layout/>
      <c:overlay val="0"/>
    </c:legend>
    <c:plotVisOnly val="1"/>
    <c:dispBlanksAs val="gap"/>
    <c:showDLblsOverMax val="0"/>
  </c:chart>
  <c:spPr>
    <a:solidFill>
      <a:schemeClr val="accent2">
        <a:lumMod val="40000"/>
        <a:lumOff val="60000"/>
      </a:schemeClr>
    </a:solidFill>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a:pPr>
            <a:r>
              <a:rPr lang="en-US" sz="1201"/>
              <a:t>Number of Ministries</a:t>
            </a:r>
          </a:p>
        </c:rich>
      </c:tx>
      <c:layout/>
      <c:overlay val="0"/>
    </c:title>
    <c:autoTitleDeleted val="0"/>
    <c:plotArea>
      <c:layout/>
      <c:pieChart>
        <c:varyColors val="1"/>
        <c:ser>
          <c:idx val="0"/>
          <c:order val="0"/>
          <c:tx>
            <c:strRef>
              <c:f>Sheet1!$B$1</c:f>
              <c:strCache>
                <c:ptCount val="1"/>
                <c:pt idx="0">
                  <c:v>Number of Ministries</c:v>
                </c:pt>
              </c:strCache>
            </c:strRef>
          </c:tx>
          <c:explosion val="25"/>
          <c:dPt>
            <c:idx val="0"/>
            <c:bubble3D val="0"/>
          </c:dPt>
          <c:dPt>
            <c:idx val="1"/>
            <c:bubble3D val="0"/>
          </c:dPt>
          <c:dPt>
            <c:idx val="2"/>
            <c:bubble3D val="0"/>
          </c:dPt>
          <c:dLbls>
            <c:showLegendKey val="0"/>
            <c:showVal val="1"/>
            <c:showCatName val="0"/>
            <c:showSerName val="0"/>
            <c:showPercent val="0"/>
            <c:showBubbleSize val="0"/>
            <c:showLeaderLines val="1"/>
          </c:dLbls>
          <c:cat>
            <c:strRef>
              <c:f>Sheet1!$A$2:$A$4</c:f>
              <c:strCache>
                <c:ptCount val="3"/>
                <c:pt idx="0">
                  <c:v>MS Reporting Decrease</c:v>
                </c:pt>
                <c:pt idx="1">
                  <c:v>MS Reporting Increase</c:v>
                </c:pt>
                <c:pt idx="2">
                  <c:v>MS Reporting No Change</c:v>
                </c:pt>
              </c:strCache>
            </c:strRef>
          </c:cat>
          <c:val>
            <c:numRef>
              <c:f>Sheet1!$B$2:$B$4</c:f>
              <c:numCache>
                <c:formatCode>General</c:formatCode>
                <c:ptCount val="3"/>
                <c:pt idx="0">
                  <c:v>13</c:v>
                </c:pt>
                <c:pt idx="1">
                  <c:v>7</c:v>
                </c:pt>
                <c:pt idx="2">
                  <c:v>7</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overlay val="0"/>
    </c:legend>
    <c:plotVisOnly val="1"/>
    <c:dispBlanksAs val="gap"/>
    <c:showDLblsOverMax val="0"/>
  </c:chart>
  <c:spPr>
    <a:solidFill>
      <a:schemeClr val="accent3">
        <a:lumMod val="40000"/>
        <a:lumOff val="60000"/>
      </a:schemeClr>
    </a:solidFill>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a:pPr>
            <a:r>
              <a:rPr lang="en-US" sz="1199"/>
              <a:t>Department/Ministry with Responsibility for HR Policy</a:t>
            </a:r>
          </a:p>
        </c:rich>
      </c:tx>
      <c:layout/>
      <c:overlay val="0"/>
    </c:title>
    <c:autoTitleDeleted val="0"/>
    <c:plotArea>
      <c:layout/>
      <c:pieChart>
        <c:varyColors val="1"/>
        <c:ser>
          <c:idx val="0"/>
          <c:order val="0"/>
          <c:tx>
            <c:strRef>
              <c:f>Sheet1!$B$1</c:f>
              <c:strCache>
                <c:ptCount val="1"/>
                <c:pt idx="0">
                  <c:v>Department/Ministry with Responsibility for HR Policy</c:v>
                </c:pt>
              </c:strCache>
            </c:strRef>
          </c:tx>
          <c:explosion val="25"/>
          <c:dPt>
            <c:idx val="0"/>
            <c:bubble3D val="0"/>
          </c:dPt>
          <c:dPt>
            <c:idx val="1"/>
            <c:bubble3D val="0"/>
          </c:dPt>
          <c:dLbls>
            <c:showLegendKey val="0"/>
            <c:showVal val="1"/>
            <c:showCatName val="0"/>
            <c:showSerName val="0"/>
            <c:showPercent val="0"/>
            <c:showBubbleSize val="0"/>
            <c:showLeaderLines val="1"/>
          </c:dLbls>
          <c:cat>
            <c:strRef>
              <c:f>Sheet1!$A$2:$A$3</c:f>
              <c:strCache>
                <c:ptCount val="2"/>
                <c:pt idx="0">
                  <c:v>MS Reporting Central HR Policy Department/Ministry</c:v>
                </c:pt>
                <c:pt idx="1">
                  <c:v>MS Reporting no Central HR Policy Department/Ministry</c:v>
                </c:pt>
              </c:strCache>
            </c:strRef>
          </c:cat>
          <c:val>
            <c:numRef>
              <c:f>Sheet1!$B$2:$B$3</c:f>
              <c:numCache>
                <c:formatCode>General</c:formatCode>
                <c:ptCount val="2"/>
                <c:pt idx="0">
                  <c:v>23</c:v>
                </c:pt>
                <c:pt idx="1">
                  <c:v>4</c:v>
                </c:pt>
              </c:numCache>
            </c:numRef>
          </c:val>
        </c:ser>
        <c:dLbls>
          <c:showLegendKey val="0"/>
          <c:showVal val="0"/>
          <c:showCatName val="0"/>
          <c:showSerName val="0"/>
          <c:showPercent val="0"/>
          <c:showBubbleSize val="0"/>
          <c:showLeaderLines val="1"/>
        </c:dLbls>
        <c:firstSliceAng val="0"/>
      </c:pieChart>
      <c:spPr>
        <a:noFill/>
        <a:ln w="25375">
          <a:noFill/>
        </a:ln>
      </c:spPr>
    </c:plotArea>
    <c:legend>
      <c:legendPos val="r"/>
      <c:layout/>
      <c:overlay val="0"/>
    </c:legend>
    <c:plotVisOnly val="1"/>
    <c:dispBlanksAs val="gap"/>
    <c:showDLblsOverMax val="0"/>
  </c:chart>
  <c:spPr>
    <a:solidFill>
      <a:schemeClr val="accent6">
        <a:lumMod val="40000"/>
        <a:lumOff val="60000"/>
      </a:schemeClr>
    </a:solidFill>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lrMapOvr bg1="lt1" tx1="dk1" bg2="lt2" tx2="dk2" accent1="accent1" accent2="accent2" accent3="accent3" accent4="accent4" accent5="accent5" accent6="accent6" hlink="hlink" folHlink="folHlink"/>
  <c:chart>
    <c:title>
      <c:tx>
        <c:rich>
          <a:bodyPr/>
          <a:lstStyle/>
          <a:p>
            <a:pPr>
              <a:defRPr/>
            </a:pPr>
            <a:r>
              <a:rPr lang="en-US" sz="1197"/>
              <a:t>General </a:t>
            </a:r>
          </a:p>
          <a:p>
            <a:pPr>
              <a:defRPr/>
            </a:pPr>
            <a:r>
              <a:rPr lang="en-US" sz="1197"/>
              <a:t>Terms and Conditions of Service</a:t>
            </a:r>
          </a:p>
        </c:rich>
      </c:tx>
      <c:layout/>
      <c:overlay val="0"/>
    </c:title>
    <c:autoTitleDeleted val="0"/>
    <c:plotArea>
      <c:layout/>
      <c:pieChart>
        <c:varyColors val="1"/>
        <c:ser>
          <c:idx val="0"/>
          <c:order val="0"/>
          <c:tx>
            <c:strRef>
              <c:f>Sheet1!$B$1</c:f>
              <c:strCache>
                <c:ptCount val="1"/>
                <c:pt idx="0">
                  <c:v>Terms and Conditions of Service</c:v>
                </c:pt>
              </c:strCache>
            </c:strRef>
          </c:tx>
          <c:explosion val="25"/>
          <c:dPt>
            <c:idx val="0"/>
            <c:bubble3D val="0"/>
            <c:spPr>
              <a:solidFill>
                <a:srgbClr val="4F81BD">
                  <a:lumMod val="60000"/>
                  <a:lumOff val="40000"/>
                </a:srgbClr>
              </a:solidFill>
            </c:spPr>
          </c:dPt>
          <c:dPt>
            <c:idx val="1"/>
            <c:bubble3D val="0"/>
          </c:dPt>
          <c:dPt>
            <c:idx val="2"/>
            <c:bubble3D val="0"/>
          </c:dPt>
          <c:dLbls>
            <c:showLegendKey val="0"/>
            <c:showVal val="1"/>
            <c:showCatName val="0"/>
            <c:showSerName val="0"/>
            <c:showPercent val="0"/>
            <c:showBubbleSize val="0"/>
            <c:showLeaderLines val="1"/>
          </c:dLbls>
          <c:cat>
            <c:strRef>
              <c:f>Sheet1!$A$2:$A$4</c:f>
              <c:strCache>
                <c:ptCount val="3"/>
                <c:pt idx="0">
                  <c:v>MS Reporting Changes</c:v>
                </c:pt>
                <c:pt idx="1">
                  <c:v>MS Reporting No Major Changes</c:v>
                </c:pt>
                <c:pt idx="2">
                  <c:v>MS Report Unclear </c:v>
                </c:pt>
              </c:strCache>
            </c:strRef>
          </c:cat>
          <c:val>
            <c:numRef>
              <c:f>Sheet1!$B$2:$B$4</c:f>
              <c:numCache>
                <c:formatCode>General</c:formatCode>
                <c:ptCount val="3"/>
                <c:pt idx="0">
                  <c:v>10</c:v>
                </c:pt>
                <c:pt idx="1">
                  <c:v>9</c:v>
                </c:pt>
                <c:pt idx="2">
                  <c:v>3</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overlay val="0"/>
    </c:legend>
    <c:plotVisOnly val="1"/>
    <c:dispBlanksAs val="gap"/>
    <c:showDLblsOverMax val="0"/>
  </c:chart>
  <c:spPr>
    <a:solidFill>
      <a:schemeClr val="accent3">
        <a:lumMod val="60000"/>
        <a:lumOff val="40000"/>
      </a:schemeClr>
    </a:solidFill>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sz="1200"/>
              <a:t>Rates of Pay</a:t>
            </a:r>
          </a:p>
        </c:rich>
      </c:tx>
      <c:layout/>
      <c:overlay val="0"/>
    </c:title>
    <c:autoTitleDeleted val="0"/>
    <c:plotArea>
      <c:layout/>
      <c:pieChart>
        <c:varyColors val="1"/>
        <c:ser>
          <c:idx val="0"/>
          <c:order val="0"/>
          <c:tx>
            <c:strRef>
              <c:f>Sheet1!$B$1</c:f>
              <c:strCache>
                <c:ptCount val="1"/>
                <c:pt idx="0">
                  <c:v>Rates of Pay</c:v>
                </c:pt>
              </c:strCache>
            </c:strRef>
          </c:tx>
          <c:explosion val="25"/>
          <c:dPt>
            <c:idx val="0"/>
            <c:bubble3D val="0"/>
            <c:spPr>
              <a:solidFill>
                <a:schemeClr val="accent1">
                  <a:lumMod val="60000"/>
                  <a:lumOff val="40000"/>
                </a:schemeClr>
              </a:solidFill>
            </c:spPr>
          </c:dPt>
          <c:dPt>
            <c:idx val="1"/>
            <c:bubble3D val="0"/>
            <c:spPr>
              <a:solidFill>
                <a:schemeClr val="accent6">
                  <a:lumMod val="75000"/>
                </a:schemeClr>
              </a:solidFill>
            </c:spPr>
          </c:dPt>
          <c:dPt>
            <c:idx val="2"/>
            <c:bubble3D val="0"/>
            <c:spPr>
              <a:solidFill>
                <a:schemeClr val="accent6">
                  <a:lumMod val="60000"/>
                  <a:lumOff val="40000"/>
                </a:schemeClr>
              </a:solidFill>
            </c:spPr>
          </c:dPt>
          <c:dPt>
            <c:idx val="3"/>
            <c:bubble3D val="0"/>
            <c:spPr>
              <a:solidFill>
                <a:schemeClr val="accent3">
                  <a:lumMod val="60000"/>
                  <a:lumOff val="40000"/>
                </a:schemeClr>
              </a:solidFill>
            </c:spPr>
          </c:dPt>
          <c:dLbls>
            <c:dLbl>
              <c:idx val="0"/>
              <c:layout/>
              <c:showLegendKey val="0"/>
              <c:showVal val="1"/>
              <c:showCatName val="0"/>
              <c:showSerName val="0"/>
              <c:showPercent val="0"/>
              <c:showBubbleSize val="0"/>
            </c:dLbl>
            <c:dLbl>
              <c:idx val="1"/>
              <c:layout/>
              <c:showLegendKey val="0"/>
              <c:showVal val="1"/>
              <c:showCatName val="0"/>
              <c:showSerName val="0"/>
              <c:showPercent val="0"/>
              <c:showBubbleSize val="0"/>
            </c:dLbl>
            <c:dLbl>
              <c:idx val="2"/>
              <c:layout/>
              <c:showLegendKey val="0"/>
              <c:showVal val="1"/>
              <c:showCatName val="0"/>
              <c:showSerName val="0"/>
              <c:showPercent val="0"/>
              <c:showBubbleSize val="0"/>
            </c:dLbl>
            <c:dLbl>
              <c:idx val="3"/>
              <c:layout/>
              <c:showLegendKey val="0"/>
              <c:showVal val="1"/>
              <c:showCatName val="0"/>
              <c:showSerName val="0"/>
              <c:showPercent val="0"/>
              <c:showBubbleSize val="0"/>
            </c:dLbl>
            <c:dLbl>
              <c:idx val="4"/>
              <c:layout/>
              <c:showLegendKey val="0"/>
              <c:showVal val="1"/>
              <c:showCatName val="0"/>
              <c:showSerName val="0"/>
              <c:showPercent val="0"/>
              <c:showBubbleSize val="0"/>
            </c:dLbl>
            <c:showLegendKey val="0"/>
            <c:showVal val="0"/>
            <c:showCatName val="0"/>
            <c:showSerName val="0"/>
            <c:showPercent val="0"/>
            <c:showBubbleSize val="0"/>
          </c:dLbls>
          <c:cat>
            <c:strRef>
              <c:f>Sheet1!$A$2:$A$6</c:f>
              <c:strCache>
                <c:ptCount val="5"/>
                <c:pt idx="0">
                  <c:v>MS Reporting Reduced Pay</c:v>
                </c:pt>
                <c:pt idx="1">
                  <c:v>MS Reporting Increased Pay</c:v>
                </c:pt>
                <c:pt idx="2">
                  <c:v>MS Reporting Pay Freezes</c:v>
                </c:pt>
                <c:pt idx="3">
                  <c:v>MS Reporting Abolition/Reduction of Allowances/Bonuses</c:v>
                </c:pt>
                <c:pt idx="4">
                  <c:v>Other</c:v>
                </c:pt>
              </c:strCache>
            </c:strRef>
          </c:cat>
          <c:val>
            <c:numRef>
              <c:f>Sheet1!$B$2:$B$6</c:f>
              <c:numCache>
                <c:formatCode>General</c:formatCode>
                <c:ptCount val="5"/>
                <c:pt idx="0">
                  <c:v>10</c:v>
                </c:pt>
                <c:pt idx="1">
                  <c:v>2</c:v>
                </c:pt>
                <c:pt idx="2">
                  <c:v>5</c:v>
                </c:pt>
                <c:pt idx="3">
                  <c:v>5</c:v>
                </c:pt>
                <c:pt idx="4">
                  <c:v>9</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8844768715837124"/>
          <c:y val="0.16156578365848598"/>
          <c:w val="0.29687341375905996"/>
          <c:h val="0.67068286567271873"/>
        </c:manualLayout>
      </c:layout>
      <c:overlay val="0"/>
      <c:txPr>
        <a:bodyPr/>
        <a:lstStyle/>
        <a:p>
          <a:pPr>
            <a:defRPr sz="900"/>
          </a:pPr>
          <a:endParaRPr lang="en-US"/>
        </a:p>
      </c:txPr>
    </c:legend>
    <c:plotVisOnly val="1"/>
    <c:dispBlanksAs val="gap"/>
    <c:showDLblsOverMax val="0"/>
  </c:chart>
  <c:spPr>
    <a:solidFill>
      <a:schemeClr val="accent2">
        <a:lumMod val="40000"/>
        <a:lumOff val="60000"/>
      </a:schemeClr>
    </a:solidFill>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title>
      <c:tx>
        <c:rich>
          <a:bodyPr/>
          <a:lstStyle/>
          <a:p>
            <a:pPr>
              <a:defRPr/>
            </a:pPr>
            <a:r>
              <a:rPr lang="en-US" sz="1197"/>
              <a:t>Changes to Rate</a:t>
            </a:r>
            <a:r>
              <a:rPr lang="en-US" sz="1197" baseline="0"/>
              <a:t>s of</a:t>
            </a:r>
            <a:r>
              <a:rPr lang="en-US" sz="1197"/>
              <a:t> Pay</a:t>
            </a:r>
          </a:p>
        </c:rich>
      </c:tx>
      <c:layout/>
      <c:overlay val="0"/>
    </c:title>
    <c:autoTitleDeleted val="0"/>
    <c:plotArea>
      <c:layout/>
      <c:barChart>
        <c:barDir val="col"/>
        <c:grouping val="clustered"/>
        <c:varyColors val="0"/>
        <c:ser>
          <c:idx val="0"/>
          <c:order val="0"/>
          <c:tx>
            <c:strRef>
              <c:f>Sheet1!$B$1</c:f>
              <c:strCache>
                <c:ptCount val="1"/>
                <c:pt idx="0">
                  <c:v>Changes to Rates of Pay</c:v>
                </c:pt>
              </c:strCache>
            </c:strRef>
          </c:tx>
          <c:invertIfNegative val="0"/>
          <c:cat>
            <c:strRef>
              <c:f>Sheet1!$A$2:$A$4</c:f>
              <c:strCache>
                <c:ptCount val="3"/>
                <c:pt idx="0">
                  <c:v>Pay Reductions</c:v>
                </c:pt>
                <c:pt idx="1">
                  <c:v>Pay Freezes</c:v>
                </c:pt>
                <c:pt idx="2">
                  <c:v>Abolition/Reduction of Allowances/Bonuses</c:v>
                </c:pt>
              </c:strCache>
            </c:strRef>
          </c:cat>
          <c:val>
            <c:numRef>
              <c:f>Sheet1!$B$2:$B$4</c:f>
              <c:numCache>
                <c:formatCode>General</c:formatCode>
                <c:ptCount val="3"/>
                <c:pt idx="0">
                  <c:v>10</c:v>
                </c:pt>
                <c:pt idx="1">
                  <c:v>5</c:v>
                </c:pt>
                <c:pt idx="2">
                  <c:v>5</c:v>
                </c:pt>
              </c:numCache>
            </c:numRef>
          </c:val>
        </c:ser>
        <c:dLbls>
          <c:showLegendKey val="0"/>
          <c:showVal val="0"/>
          <c:showCatName val="0"/>
          <c:showSerName val="0"/>
          <c:showPercent val="0"/>
          <c:showBubbleSize val="0"/>
        </c:dLbls>
        <c:gapWidth val="150"/>
        <c:axId val="138648576"/>
        <c:axId val="138654464"/>
      </c:barChart>
      <c:catAx>
        <c:axId val="138648576"/>
        <c:scaling>
          <c:orientation val="minMax"/>
        </c:scaling>
        <c:delete val="0"/>
        <c:axPos val="b"/>
        <c:numFmt formatCode="General" sourceLinked="1"/>
        <c:majorTickMark val="out"/>
        <c:minorTickMark val="none"/>
        <c:tickLblPos val="nextTo"/>
        <c:crossAx val="138654464"/>
        <c:crosses val="autoZero"/>
        <c:auto val="1"/>
        <c:lblAlgn val="ctr"/>
        <c:lblOffset val="100"/>
        <c:noMultiLvlLbl val="0"/>
      </c:catAx>
      <c:valAx>
        <c:axId val="138654464"/>
        <c:scaling>
          <c:orientation val="minMax"/>
        </c:scaling>
        <c:delete val="0"/>
        <c:axPos val="l"/>
        <c:majorGridlines/>
        <c:numFmt formatCode="General" sourceLinked="1"/>
        <c:majorTickMark val="out"/>
        <c:minorTickMark val="none"/>
        <c:tickLblPos val="nextTo"/>
        <c:crossAx val="138648576"/>
        <c:crosses val="autoZero"/>
        <c:crossBetween val="between"/>
      </c:valAx>
    </c:plotArea>
    <c:plotVisOnly val="1"/>
    <c:dispBlanksAs val="gap"/>
    <c:showDLblsOverMax val="0"/>
  </c:chart>
  <c:spPr>
    <a:solidFill>
      <a:schemeClr val="accent2">
        <a:lumMod val="40000"/>
        <a:lumOff val="60000"/>
      </a:schemeClr>
    </a:solidFill>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lrMapOvr bg1="lt1" tx1="dk1" bg2="lt2" tx2="dk2" accent1="accent1" accent2="accent2" accent3="accent3" accent4="accent4" accent5="accent5" accent6="accent6" hlink="hlink" folHlink="folHlink"/>
  <c:chart>
    <c:title>
      <c:tx>
        <c:rich>
          <a:bodyPr/>
          <a:lstStyle/>
          <a:p>
            <a:pPr>
              <a:defRPr/>
            </a:pPr>
            <a:r>
              <a:rPr lang="en-US" sz="1197"/>
              <a:t>Rates of Pension</a:t>
            </a:r>
          </a:p>
        </c:rich>
      </c:tx>
      <c:layout/>
      <c:overlay val="0"/>
      <c:spPr>
        <a:scene3d>
          <a:camera prst="orthographicFront"/>
          <a:lightRig rig="threePt" dir="t"/>
        </a:scene3d>
        <a:sp3d>
          <a:bevelB/>
        </a:sp3d>
      </c:spPr>
    </c:title>
    <c:autoTitleDeleted val="0"/>
    <c:plotArea>
      <c:layout/>
      <c:pieChart>
        <c:varyColors val="1"/>
        <c:ser>
          <c:idx val="0"/>
          <c:order val="0"/>
          <c:tx>
            <c:strRef>
              <c:f>Sheet1!$B$1</c:f>
              <c:strCache>
                <c:ptCount val="1"/>
                <c:pt idx="0">
                  <c:v>Rates of Pension</c:v>
                </c:pt>
              </c:strCache>
            </c:strRef>
          </c:tx>
          <c:explosion val="25"/>
          <c:dPt>
            <c:idx val="0"/>
            <c:bubble3D val="0"/>
            <c:spPr>
              <a:solidFill>
                <a:srgbClr val="C0504D">
                  <a:lumMod val="40000"/>
                  <a:lumOff val="60000"/>
                </a:srgbClr>
              </a:solidFill>
            </c:spPr>
          </c:dPt>
          <c:dPt>
            <c:idx val="1"/>
            <c:bubble3D val="0"/>
            <c:spPr>
              <a:solidFill>
                <a:srgbClr val="C0504D">
                  <a:lumMod val="75000"/>
                </a:srgbClr>
              </a:solidFill>
            </c:spPr>
          </c:dPt>
          <c:dPt>
            <c:idx val="2"/>
            <c:bubble3D val="0"/>
          </c:dPt>
          <c:dPt>
            <c:idx val="3"/>
            <c:bubble3D val="0"/>
            <c:spPr>
              <a:solidFill>
                <a:srgbClr val="4F81BD">
                  <a:lumMod val="40000"/>
                  <a:lumOff val="60000"/>
                </a:srgbClr>
              </a:solidFill>
            </c:spPr>
          </c:dPt>
          <c:dLbls>
            <c:showLegendKey val="0"/>
            <c:showVal val="1"/>
            <c:showCatName val="0"/>
            <c:showSerName val="0"/>
            <c:showPercent val="0"/>
            <c:showBubbleSize val="0"/>
            <c:showLeaderLines val="1"/>
          </c:dLbls>
          <c:cat>
            <c:strRef>
              <c:f>Sheet1!$A$2:$A$5</c:f>
              <c:strCache>
                <c:ptCount val="4"/>
                <c:pt idx="0">
                  <c:v>MS Reporting Reduced Pension</c:v>
                </c:pt>
                <c:pt idx="1">
                  <c:v>MS Reporting No Change </c:v>
                </c:pt>
                <c:pt idx="2">
                  <c:v>MS Reporting Pension freeze</c:v>
                </c:pt>
                <c:pt idx="3">
                  <c:v>MS Reporting no separate Public Service pension scheme</c:v>
                </c:pt>
              </c:strCache>
            </c:strRef>
          </c:cat>
          <c:val>
            <c:numRef>
              <c:f>Sheet1!$B$2:$B$5</c:f>
              <c:numCache>
                <c:formatCode>General</c:formatCode>
                <c:ptCount val="4"/>
                <c:pt idx="0">
                  <c:v>4</c:v>
                </c:pt>
                <c:pt idx="1">
                  <c:v>2</c:v>
                </c:pt>
                <c:pt idx="2">
                  <c:v>3</c:v>
                </c:pt>
                <c:pt idx="3">
                  <c:v>4</c:v>
                </c:pt>
              </c:numCache>
            </c:numRef>
          </c:val>
        </c:ser>
        <c:dLbls>
          <c:showLegendKey val="0"/>
          <c:showVal val="0"/>
          <c:showCatName val="0"/>
          <c:showSerName val="0"/>
          <c:showPercent val="0"/>
          <c:showBubbleSize val="0"/>
          <c:showLeaderLines val="1"/>
        </c:dLbls>
        <c:firstSliceAng val="0"/>
      </c:pieChart>
      <c:spPr>
        <a:noFill/>
        <a:ln w="25409">
          <a:noFill/>
        </a:ln>
      </c:spPr>
    </c:plotArea>
    <c:legend>
      <c:legendPos val="r"/>
      <c:layout/>
      <c:overlay val="0"/>
    </c:legend>
    <c:plotVisOnly val="1"/>
    <c:dispBlanksAs val="gap"/>
    <c:showDLblsOverMax val="0"/>
  </c:chart>
  <c:spPr>
    <a:solidFill>
      <a:srgbClr val="FFFFCC"/>
    </a:solidFill>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98EFE-5101-490A-AD94-14A6349C4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6009</Words>
  <Characters>34257</Characters>
  <Application>Microsoft Office Word</Application>
  <DocSecurity>4</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DOF/PER</Company>
  <LinksUpToDate>false</LinksUpToDate>
  <CharactersWithSpaces>40186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Tara</dc:creator>
  <cp:lastModifiedBy>Cristina Mihaela Constantinescu</cp:lastModifiedBy>
  <cp:revision>2</cp:revision>
  <cp:lastPrinted>2013-06-07T15:08:00Z</cp:lastPrinted>
  <dcterms:created xsi:type="dcterms:W3CDTF">2013-06-10T06:17:00Z</dcterms:created>
  <dcterms:modified xsi:type="dcterms:W3CDTF">2013-06-10T06:17:00Z</dcterms:modified>
</cp:coreProperties>
</file>